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sz w:val="32"/>
          <w:szCs w:val="32"/>
        </w:rPr>
      </w:pPr>
    </w:p>
    <w:p>
      <w:pPr>
        <w:jc w:val="center"/>
        <w:rPr>
          <w:rFonts w:ascii="宋体" w:hAnsi="宋体" w:eastAsia="宋体"/>
          <w:sz w:val="44"/>
          <w:szCs w:val="44"/>
        </w:rPr>
      </w:pPr>
    </w:p>
    <w:p>
      <w:pPr>
        <w:jc w:val="center"/>
        <w:rPr>
          <w:rFonts w:ascii="宋体" w:hAnsi="宋体" w:eastAsia="宋体"/>
          <w:sz w:val="44"/>
          <w:szCs w:val="44"/>
        </w:rPr>
      </w:pPr>
    </w:p>
    <w:p>
      <w:pPr>
        <w:jc w:val="center"/>
        <w:rPr>
          <w:rFonts w:ascii="宋体" w:hAnsi="宋体" w:eastAsia="宋体"/>
          <w:sz w:val="44"/>
          <w:szCs w:val="44"/>
        </w:rPr>
      </w:pPr>
      <w:r>
        <w:rPr>
          <w:rFonts w:ascii="宋体" w:hAnsi="宋体" w:eastAsia="宋体"/>
          <w:sz w:val="44"/>
          <w:szCs w:val="44"/>
        </w:rPr>
        <w:t>网络</w:t>
      </w:r>
      <w:r>
        <w:rPr>
          <w:rFonts w:hint="eastAsia" w:ascii="宋体" w:hAnsi="宋体" w:eastAsia="宋体"/>
          <w:sz w:val="44"/>
          <w:szCs w:val="44"/>
        </w:rPr>
        <w:t>信息安全等保测评服务招标采购要求</w:t>
      </w:r>
    </w:p>
    <w:p>
      <w:pPr>
        <w:ind w:firstLine="640" w:firstLineChars="200"/>
        <w:jc w:val="left"/>
        <w:rPr>
          <w:rFonts w:ascii="仿宋" w:hAnsi="仿宋" w:eastAsia="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常德技师学院门户网站、一卡通系统、教务管理系统二级等保护测评项目，项目业主为常德技师学院，现对本项目的等级保护测评服务进行公开招标。欢迎有资质的投标人参与本项目的投标。</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项目名称：常德技师学院门户网站、一卡通系统、教务管理系统二级等保护测评</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标段划分：1个标段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资金来源：自筹</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合同签定后，中标方在六个月之内完成本次招标之等级保护测评服务内容。</w:t>
      </w:r>
    </w:p>
    <w:p>
      <w:pPr>
        <w:pStyle w:val="4"/>
        <w:ind w:left="1331" w:hanging="851"/>
        <w:rPr>
          <w:rFonts w:hint="eastAsia" w:ascii="仿宋" w:hAnsi="仿宋" w:eastAsia="仿宋" w:cs="仿宋"/>
          <w:sz w:val="32"/>
          <w:szCs w:val="32"/>
        </w:rPr>
      </w:pPr>
      <w:r>
        <w:rPr>
          <w:rFonts w:hint="eastAsia" w:ascii="仿宋" w:hAnsi="仿宋" w:eastAsia="仿宋" w:cs="仿宋"/>
          <w:sz w:val="32"/>
          <w:szCs w:val="32"/>
        </w:rPr>
        <w:t>1、投标人基本资格条件：</w:t>
      </w:r>
    </w:p>
    <w:p>
      <w:pPr>
        <w:adjustRightInd w:val="0"/>
        <w:snapToGrid w:val="0"/>
        <w:spacing w:before="156" w:beforeLines="50"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投标人需具备《中华人民共和国政府采购法》第二十二条规定的基本资格条件，并提供以下资格证明文件：</w:t>
      </w:r>
    </w:p>
    <w:p>
      <w:pPr>
        <w:adjustRightInd w:val="0"/>
        <w:snapToGrid w:val="0"/>
        <w:spacing w:before="156" w:beforeLines="50" w:line="3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（1）法人提交企业法人营业执照副本以及组织机构代码证副本复印件；</w:t>
      </w:r>
    </w:p>
    <w:p>
      <w:pPr>
        <w:adjustRightInd w:val="0"/>
        <w:snapToGrid w:val="0"/>
        <w:spacing w:before="156" w:beforeLines="50" w:line="3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（2）依法缴纳税收和社会保险费的证明材料,各提供下列材料:</w:t>
      </w:r>
    </w:p>
    <w:p>
      <w:pPr>
        <w:adjustRightInd w:val="0"/>
        <w:snapToGrid w:val="0"/>
        <w:spacing w:before="156" w:beforeLines="50"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①缴纳税收证明资料:《税务登记证》复印件，或者近三个月依法缴纳税收的证明（纳税凭证复印件）；</w:t>
      </w:r>
    </w:p>
    <w:p>
      <w:pPr>
        <w:adjustRightInd w:val="0"/>
        <w:snapToGrid w:val="0"/>
        <w:spacing w:before="156" w:beforeLines="50"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②缴纳社会保险证明资料：《社会保险登记证》复印件，或者近三个月依法缴纳社会保险的证明（缴费凭证复印件）；</w:t>
      </w:r>
    </w:p>
    <w:p>
      <w:pPr>
        <w:adjustRightInd w:val="0"/>
        <w:snapToGrid w:val="0"/>
        <w:spacing w:before="156" w:beforeLines="50" w:line="3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（3）法人提交法定代表人身份证明原件或者法定代表人授权委托书原件并附法定代表人身份证明原件，自然人提交身份证复印件；</w:t>
      </w:r>
    </w:p>
    <w:p>
      <w:pPr>
        <w:adjustRightInd w:val="0"/>
        <w:snapToGrid w:val="0"/>
        <w:spacing w:before="156" w:beforeLines="50" w:line="3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（4）投标人具有实行了“三证合一”登记制度改革的新证并提交的，视同为持有并提交了工商营业执照、组织机构代码证和税务登记证，符合基本资格条件的相关条款。</w:t>
      </w:r>
    </w:p>
    <w:p>
      <w:pPr>
        <w:adjustRightInd w:val="0"/>
        <w:snapToGrid w:val="0"/>
        <w:spacing w:before="156" w:beforeLines="50" w:line="3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2、投标人特定资格条件：</w:t>
      </w:r>
    </w:p>
    <w:p>
      <w:pPr>
        <w:spacing w:line="360" w:lineRule="exact"/>
        <w:rPr>
          <w:rFonts w:hint="eastAsia" w:ascii="仿宋" w:hAnsi="仿宋" w:eastAsia="仿宋" w:cs="仿宋"/>
          <w:sz w:val="32"/>
          <w:szCs w:val="32"/>
        </w:rPr>
      </w:pPr>
      <w:r>
        <w:rPr>
          <w:rFonts w:hint="eastAsia" w:ascii="仿宋" w:hAnsi="仿宋" w:eastAsia="仿宋" w:cs="仿宋"/>
          <w:sz w:val="32"/>
          <w:szCs w:val="32"/>
        </w:rPr>
        <w:t>★要求投标人是《全国信息安全等级保护测评机构推荐目录》中的服务单位，并提供网上（www.djbh.net）查询的证明材料。</w:t>
      </w:r>
    </w:p>
    <w:p>
      <w:pPr>
        <w:adjustRightInd w:val="0"/>
        <w:snapToGrid w:val="0"/>
        <w:spacing w:before="156" w:beforeLines="50" w:line="360" w:lineRule="exact"/>
        <w:ind w:firstLine="482" w:firstLineChars="150"/>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3、开标时间及地点</w:t>
      </w:r>
    </w:p>
    <w:p>
      <w:pPr>
        <w:numPr>
          <w:ilvl w:val="0"/>
          <w:numId w:val="0"/>
        </w:numPr>
        <w:spacing w:line="3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时间：2019年1月3日星期四上午9:30</w:t>
      </w:r>
    </w:p>
    <w:p>
      <w:pPr>
        <w:numPr>
          <w:ilvl w:val="0"/>
          <w:numId w:val="0"/>
        </w:numPr>
        <w:spacing w:line="3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地点：常德技师学院综合楼310办公室</w:t>
      </w:r>
    </w:p>
    <w:p>
      <w:pPr>
        <w:numPr>
          <w:ilvl w:val="0"/>
          <w:numId w:val="0"/>
        </w:numPr>
        <w:spacing w:line="3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联系人：彭翠兰 0736-7722146</w:t>
      </w: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r>
        <w:rPr>
          <w:rFonts w:ascii="宋体" w:hAnsi="宋体"/>
        </w:rPr>
        <w:br w:type="page"/>
      </w:r>
    </w:p>
    <w:p>
      <w:pPr>
        <w:adjustRightInd w:val="0"/>
        <w:snapToGrid w:val="0"/>
        <w:spacing w:before="156" w:beforeLines="50" w:line="360" w:lineRule="exact"/>
        <w:ind w:firstLine="482" w:firstLineChars="150"/>
        <w:rPr>
          <w:rFonts w:ascii="宋体" w:hAnsi="宋体"/>
          <w:b/>
          <w:sz w:val="32"/>
          <w:szCs w:val="32"/>
        </w:rPr>
      </w:pPr>
      <w:r>
        <w:rPr>
          <w:rFonts w:hint="eastAsia" w:ascii="宋体" w:hAnsi="宋体" w:eastAsia="宋体"/>
          <w:b/>
          <w:sz w:val="32"/>
          <w:szCs w:val="32"/>
          <w:lang w:val="en-US" w:eastAsia="zh-CN"/>
        </w:rPr>
        <w:t>4</w:t>
      </w:r>
      <w:bookmarkStart w:id="57" w:name="_GoBack"/>
      <w:bookmarkEnd w:id="57"/>
      <w:r>
        <w:rPr>
          <w:rFonts w:hint="eastAsia" w:ascii="MS Mincho" w:hAnsi="MS Mincho" w:eastAsia="MS Mincho" w:cs="MS Mincho"/>
          <w:b/>
          <w:sz w:val="32"/>
          <w:szCs w:val="32"/>
        </w:rPr>
        <w:t>､</w:t>
      </w:r>
      <w:r>
        <w:rPr>
          <w:rFonts w:hint="eastAsia" w:ascii="宋体" w:hAnsi="宋体"/>
          <w:b/>
          <w:sz w:val="32"/>
          <w:szCs w:val="32"/>
        </w:rPr>
        <w:t>评标计分权值：</w:t>
      </w:r>
    </w:p>
    <w:tbl>
      <w:tblPr>
        <w:tblStyle w:val="8"/>
        <w:tblW w:w="825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31"/>
        <w:gridCol w:w="1134"/>
        <w:gridCol w:w="283"/>
        <w:gridCol w:w="425"/>
        <w:gridCol w:w="2218"/>
        <w:gridCol w:w="489"/>
        <w:gridCol w:w="2822"/>
        <w:gridCol w:w="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3" w:type="dxa"/>
          <w:trHeight w:val="420" w:hRule="atLeast"/>
        </w:trPr>
        <w:tc>
          <w:tcPr>
            <w:tcW w:w="720" w:type="dxa"/>
            <w:vAlign w:val="center"/>
          </w:tcPr>
          <w:p>
            <w:pPr>
              <w:tabs>
                <w:tab w:val="left" w:pos="1988"/>
              </w:tabs>
              <w:spacing w:line="460" w:lineRule="exact"/>
              <w:jc w:val="center"/>
              <w:rPr>
                <w:rFonts w:ascii="宋体" w:hAnsi="宋体"/>
                <w:sz w:val="24"/>
              </w:rPr>
            </w:pPr>
            <w:r>
              <w:rPr>
                <w:rFonts w:hint="eastAsia" w:ascii="宋体" w:hAnsi="宋体"/>
                <w:sz w:val="24"/>
              </w:rPr>
              <w:t>序号</w:t>
            </w:r>
          </w:p>
        </w:tc>
        <w:tc>
          <w:tcPr>
            <w:tcW w:w="4680" w:type="dxa"/>
            <w:gridSpan w:val="6"/>
            <w:vAlign w:val="center"/>
          </w:tcPr>
          <w:p>
            <w:pPr>
              <w:tabs>
                <w:tab w:val="left" w:pos="1988"/>
              </w:tabs>
              <w:spacing w:line="460" w:lineRule="exact"/>
              <w:jc w:val="center"/>
              <w:rPr>
                <w:rFonts w:ascii="宋体" w:hAnsi="宋体"/>
                <w:sz w:val="24"/>
              </w:rPr>
            </w:pPr>
            <w:r>
              <w:rPr>
                <w:rFonts w:hint="eastAsia" w:ascii="宋体" w:hAnsi="宋体"/>
                <w:sz w:val="24"/>
              </w:rPr>
              <w:t>项     目</w:t>
            </w:r>
          </w:p>
        </w:tc>
        <w:tc>
          <w:tcPr>
            <w:tcW w:w="2822" w:type="dxa"/>
            <w:vAlign w:val="center"/>
          </w:tcPr>
          <w:p>
            <w:pPr>
              <w:tabs>
                <w:tab w:val="left" w:pos="1988"/>
              </w:tabs>
              <w:spacing w:line="460" w:lineRule="exact"/>
              <w:jc w:val="center"/>
              <w:rPr>
                <w:rFonts w:ascii="宋体" w:hAnsi="宋体"/>
                <w:sz w:val="24"/>
              </w:rPr>
            </w:pPr>
            <w:r>
              <w:rPr>
                <w:rFonts w:hint="eastAsia" w:ascii="宋体" w:hAnsi="宋体"/>
                <w:sz w:val="24"/>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3" w:type="dxa"/>
          <w:trHeight w:val="409" w:hRule="atLeast"/>
        </w:trPr>
        <w:tc>
          <w:tcPr>
            <w:tcW w:w="720" w:type="dxa"/>
            <w:vAlign w:val="center"/>
          </w:tcPr>
          <w:p>
            <w:pPr>
              <w:tabs>
                <w:tab w:val="left" w:pos="1988"/>
              </w:tabs>
              <w:spacing w:line="460" w:lineRule="exact"/>
              <w:jc w:val="center"/>
              <w:rPr>
                <w:rFonts w:ascii="宋体" w:hAnsi="宋体"/>
                <w:sz w:val="24"/>
              </w:rPr>
            </w:pPr>
            <w:r>
              <w:rPr>
                <w:rFonts w:hint="eastAsia" w:ascii="宋体" w:hAnsi="宋体"/>
                <w:sz w:val="24"/>
              </w:rPr>
              <w:t>1</w:t>
            </w:r>
          </w:p>
        </w:tc>
        <w:tc>
          <w:tcPr>
            <w:tcW w:w="4680" w:type="dxa"/>
            <w:gridSpan w:val="6"/>
            <w:vAlign w:val="center"/>
          </w:tcPr>
          <w:p>
            <w:pPr>
              <w:tabs>
                <w:tab w:val="left" w:pos="1988"/>
              </w:tabs>
              <w:spacing w:line="460" w:lineRule="exact"/>
              <w:jc w:val="center"/>
              <w:rPr>
                <w:rFonts w:ascii="宋体" w:hAnsi="宋体"/>
                <w:sz w:val="24"/>
              </w:rPr>
            </w:pPr>
            <w:r>
              <w:rPr>
                <w:rFonts w:hint="eastAsia" w:ascii="宋体" w:hAnsi="宋体"/>
                <w:sz w:val="24"/>
              </w:rPr>
              <w:t>商务</w:t>
            </w:r>
          </w:p>
        </w:tc>
        <w:tc>
          <w:tcPr>
            <w:tcW w:w="2822" w:type="dxa"/>
            <w:vAlign w:val="center"/>
          </w:tcPr>
          <w:p>
            <w:pPr>
              <w:tabs>
                <w:tab w:val="left" w:pos="1988"/>
              </w:tabs>
              <w:spacing w:line="460" w:lineRule="exact"/>
              <w:jc w:val="center"/>
              <w:rPr>
                <w:rFonts w:ascii="宋体" w:hAnsi="宋体"/>
                <w:sz w:val="24"/>
              </w:rPr>
            </w:pPr>
            <w:r>
              <w:rPr>
                <w:rFonts w:hint="eastAsia"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3" w:type="dxa"/>
          <w:trHeight w:val="420" w:hRule="atLeast"/>
        </w:trPr>
        <w:tc>
          <w:tcPr>
            <w:tcW w:w="720" w:type="dxa"/>
            <w:vAlign w:val="center"/>
          </w:tcPr>
          <w:p>
            <w:pPr>
              <w:tabs>
                <w:tab w:val="left" w:pos="1988"/>
              </w:tabs>
              <w:spacing w:line="460" w:lineRule="exact"/>
              <w:jc w:val="center"/>
              <w:rPr>
                <w:rFonts w:ascii="宋体" w:hAnsi="宋体"/>
                <w:sz w:val="24"/>
              </w:rPr>
            </w:pPr>
            <w:r>
              <w:rPr>
                <w:rFonts w:hint="eastAsia" w:ascii="宋体" w:hAnsi="宋体"/>
                <w:sz w:val="24"/>
              </w:rPr>
              <w:t>2</w:t>
            </w:r>
          </w:p>
        </w:tc>
        <w:tc>
          <w:tcPr>
            <w:tcW w:w="4680" w:type="dxa"/>
            <w:gridSpan w:val="6"/>
            <w:vAlign w:val="center"/>
          </w:tcPr>
          <w:p>
            <w:pPr>
              <w:tabs>
                <w:tab w:val="left" w:pos="1988"/>
              </w:tabs>
              <w:spacing w:line="460" w:lineRule="exact"/>
              <w:jc w:val="center"/>
              <w:rPr>
                <w:rFonts w:ascii="宋体" w:hAnsi="宋体"/>
                <w:sz w:val="24"/>
              </w:rPr>
            </w:pPr>
            <w:r>
              <w:rPr>
                <w:rFonts w:hint="eastAsia" w:ascii="宋体" w:hAnsi="宋体"/>
                <w:sz w:val="24"/>
              </w:rPr>
              <w:t>技术</w:t>
            </w:r>
          </w:p>
        </w:tc>
        <w:tc>
          <w:tcPr>
            <w:tcW w:w="2822" w:type="dxa"/>
            <w:vAlign w:val="center"/>
          </w:tcPr>
          <w:p>
            <w:pPr>
              <w:tabs>
                <w:tab w:val="left" w:pos="1988"/>
              </w:tabs>
              <w:spacing w:line="460" w:lineRule="exact"/>
              <w:jc w:val="center"/>
              <w:rPr>
                <w:rFonts w:ascii="宋体" w:hAnsi="宋体"/>
                <w:sz w:val="24"/>
              </w:rPr>
            </w:pPr>
            <w:r>
              <w:rPr>
                <w:rFonts w:hint="eastAsia"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3" w:type="dxa"/>
          <w:trHeight w:val="420" w:hRule="atLeast"/>
        </w:trPr>
        <w:tc>
          <w:tcPr>
            <w:tcW w:w="720" w:type="dxa"/>
            <w:vAlign w:val="center"/>
          </w:tcPr>
          <w:p>
            <w:pPr>
              <w:tabs>
                <w:tab w:val="left" w:pos="1988"/>
              </w:tabs>
              <w:spacing w:line="460" w:lineRule="exact"/>
              <w:jc w:val="center"/>
              <w:rPr>
                <w:rFonts w:ascii="宋体" w:hAnsi="宋体"/>
                <w:sz w:val="24"/>
              </w:rPr>
            </w:pPr>
            <w:r>
              <w:rPr>
                <w:rFonts w:hint="eastAsia" w:ascii="宋体" w:hAnsi="宋体"/>
                <w:sz w:val="24"/>
              </w:rPr>
              <w:t>3</w:t>
            </w:r>
          </w:p>
        </w:tc>
        <w:tc>
          <w:tcPr>
            <w:tcW w:w="4680" w:type="dxa"/>
            <w:gridSpan w:val="6"/>
            <w:vAlign w:val="center"/>
          </w:tcPr>
          <w:p>
            <w:pPr>
              <w:tabs>
                <w:tab w:val="left" w:pos="1988"/>
              </w:tabs>
              <w:spacing w:line="460" w:lineRule="exact"/>
              <w:jc w:val="center"/>
              <w:rPr>
                <w:rFonts w:ascii="宋体" w:hAnsi="宋体"/>
                <w:sz w:val="24"/>
              </w:rPr>
            </w:pPr>
            <w:r>
              <w:rPr>
                <w:rFonts w:hint="eastAsia" w:ascii="宋体" w:hAnsi="宋体"/>
                <w:sz w:val="24"/>
              </w:rPr>
              <w:t>价格</w:t>
            </w:r>
          </w:p>
        </w:tc>
        <w:tc>
          <w:tcPr>
            <w:tcW w:w="2822" w:type="dxa"/>
            <w:vAlign w:val="center"/>
          </w:tcPr>
          <w:p>
            <w:pPr>
              <w:tabs>
                <w:tab w:val="left" w:pos="1988"/>
              </w:tabs>
              <w:spacing w:line="460" w:lineRule="exact"/>
              <w:jc w:val="center"/>
              <w:rPr>
                <w:rFonts w:ascii="宋体" w:hAnsi="宋体"/>
                <w:sz w:val="24"/>
              </w:rPr>
            </w:pPr>
            <w:r>
              <w:rPr>
                <w:rFonts w:hint="eastAsia" w:ascii="宋体" w:hAnsi="宋体"/>
                <w:sz w:val="24"/>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3" w:type="dxa"/>
          <w:trHeight w:val="420" w:hRule="atLeast"/>
        </w:trPr>
        <w:tc>
          <w:tcPr>
            <w:tcW w:w="5400" w:type="dxa"/>
            <w:gridSpan w:val="7"/>
          </w:tcPr>
          <w:p>
            <w:pPr>
              <w:tabs>
                <w:tab w:val="left" w:pos="1988"/>
              </w:tabs>
              <w:spacing w:line="460" w:lineRule="exact"/>
              <w:jc w:val="center"/>
              <w:rPr>
                <w:rFonts w:ascii="宋体" w:hAnsi="宋体"/>
                <w:sz w:val="24"/>
              </w:rPr>
            </w:pPr>
            <w:r>
              <w:rPr>
                <w:rFonts w:hint="eastAsia" w:ascii="宋体" w:hAnsi="宋体"/>
                <w:sz w:val="24"/>
              </w:rPr>
              <w:t>∑(1+2+3)=100</w:t>
            </w:r>
          </w:p>
        </w:tc>
        <w:tc>
          <w:tcPr>
            <w:tcW w:w="2822" w:type="dxa"/>
            <w:vAlign w:val="center"/>
          </w:tcPr>
          <w:p>
            <w:pPr>
              <w:tabs>
                <w:tab w:val="left" w:pos="1988"/>
              </w:tabs>
              <w:spacing w:line="460" w:lineRule="exact"/>
              <w:jc w:val="center"/>
              <w:rPr>
                <w:rFonts w:ascii="宋体" w:hAnsi="宋体"/>
                <w:sz w:val="24"/>
              </w:rPr>
            </w:pPr>
            <w:r>
              <w:rPr>
                <w:rFonts w:hint="eastAsia" w:ascii="宋体" w:hAnsi="宋体"/>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3" w:type="dxa"/>
          <w:trHeight w:val="420" w:hRule="atLeast"/>
        </w:trPr>
        <w:tc>
          <w:tcPr>
            <w:tcW w:w="5400" w:type="dxa"/>
            <w:gridSpan w:val="7"/>
            <w:tcBorders>
              <w:top w:val="single" w:color="auto" w:sz="6" w:space="0"/>
              <w:left w:val="single" w:color="auto" w:sz="12" w:space="0"/>
              <w:bottom w:val="single" w:color="auto" w:sz="6" w:space="0"/>
              <w:right w:val="single" w:color="auto" w:sz="6" w:space="0"/>
            </w:tcBorders>
          </w:tcPr>
          <w:p>
            <w:pPr>
              <w:tabs>
                <w:tab w:val="left" w:pos="1988"/>
              </w:tabs>
              <w:spacing w:line="460" w:lineRule="exact"/>
              <w:jc w:val="center"/>
              <w:rPr>
                <w:rFonts w:ascii="宋体" w:hAnsi="宋体"/>
                <w:sz w:val="24"/>
              </w:rPr>
            </w:pPr>
            <w:r>
              <w:rPr>
                <w:rFonts w:hint="eastAsia" w:ascii="宋体" w:hAnsi="宋体"/>
                <w:sz w:val="24"/>
              </w:rPr>
              <w:t>评标因素和标准</w:t>
            </w:r>
          </w:p>
        </w:tc>
        <w:tc>
          <w:tcPr>
            <w:tcW w:w="2822" w:type="dxa"/>
            <w:tcBorders>
              <w:top w:val="single" w:color="auto" w:sz="6" w:space="0"/>
              <w:left w:val="single" w:color="auto" w:sz="6" w:space="0"/>
              <w:bottom w:val="single" w:color="auto" w:sz="6" w:space="0"/>
              <w:right w:val="single" w:color="auto" w:sz="12" w:space="0"/>
            </w:tcBorders>
            <w:vAlign w:val="center"/>
          </w:tcPr>
          <w:p>
            <w:pPr>
              <w:tabs>
                <w:tab w:val="left" w:pos="1988"/>
              </w:tabs>
              <w:spacing w:line="460" w:lineRule="exact"/>
              <w:jc w:val="center"/>
              <w:rPr>
                <w:rFonts w:ascii="宋体" w:hAnsi="宋体"/>
                <w:sz w:val="24"/>
              </w:rPr>
            </w:pPr>
            <w:r>
              <w:rPr>
                <w:rFonts w:ascii="宋体" w:hAnsi="宋体"/>
                <w:sz w:val="24"/>
              </w:rPr>
              <w:t>(</w:t>
            </w:r>
            <w:r>
              <w:rPr>
                <w:rFonts w:hint="eastAsia" w:ascii="宋体" w:hAnsi="宋体"/>
                <w:sz w:val="24"/>
              </w:rPr>
              <w:t>提示：因评标因素“技术”项涉及政府采购政策优惠，为便于计算，应与其他评标因素分列</w:t>
            </w:r>
            <w:r>
              <w:rPr>
                <w:rFonts w:ascii="宋体" w:hAnsi="宋体"/>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3" w:hRule="atLeast"/>
        </w:trPr>
        <w:tc>
          <w:tcPr>
            <w:tcW w:w="2268" w:type="dxa"/>
            <w:gridSpan w:val="4"/>
            <w:vMerge w:val="restart"/>
            <w:tcBorders>
              <w:top w:val="single" w:color="auto" w:sz="6"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权值</w:t>
            </w:r>
          </w:p>
        </w:tc>
        <w:tc>
          <w:tcPr>
            <w:tcW w:w="2643" w:type="dxa"/>
            <w:gridSpan w:val="2"/>
            <w:tcBorders>
              <w:top w:val="single" w:color="auto" w:sz="6" w:space="0"/>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评审因素</w:t>
            </w:r>
          </w:p>
        </w:tc>
        <w:tc>
          <w:tcPr>
            <w:tcW w:w="3344" w:type="dxa"/>
            <w:gridSpan w:val="3"/>
            <w:tcBorders>
              <w:top w:val="single" w:color="auto" w:sz="6" w:space="0"/>
              <w:left w:val="single" w:color="auto" w:sz="4" w:space="0"/>
              <w:right w:val="doub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权值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0" w:hRule="atLeast"/>
        </w:trPr>
        <w:tc>
          <w:tcPr>
            <w:tcW w:w="2268" w:type="dxa"/>
            <w:gridSpan w:val="4"/>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宋体"/>
                <w:szCs w:val="21"/>
              </w:rPr>
            </w:pPr>
          </w:p>
        </w:tc>
        <w:tc>
          <w:tcPr>
            <w:tcW w:w="26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szCs w:val="21"/>
              </w:rPr>
            </w:pPr>
            <w:r>
              <w:rPr>
                <w:rFonts w:hint="eastAsia" w:ascii="宋体" w:hAnsi="宋体"/>
                <w:szCs w:val="21"/>
              </w:rPr>
              <w:t>商务</w:t>
            </w:r>
          </w:p>
        </w:tc>
        <w:tc>
          <w:tcPr>
            <w:tcW w:w="3344" w:type="dxa"/>
            <w:gridSpan w:val="3"/>
            <w:tcBorders>
              <w:top w:val="single" w:color="auto" w:sz="4" w:space="0"/>
              <w:left w:val="single" w:color="auto" w:sz="4" w:space="0"/>
              <w:bottom w:val="single" w:color="auto" w:sz="4" w:space="0"/>
              <w:right w:val="double" w:color="auto" w:sz="4" w:space="0"/>
            </w:tcBorders>
            <w:vAlign w:val="center"/>
          </w:tcPr>
          <w:p>
            <w:pPr>
              <w:adjustRightInd w:val="0"/>
              <w:snapToGrid w:val="0"/>
              <w:spacing w:line="320" w:lineRule="exact"/>
              <w:jc w:val="center"/>
              <w:rPr>
                <w:rFonts w:ascii="宋体" w:hAnsi="宋体"/>
                <w:szCs w:val="21"/>
              </w:rPr>
            </w:pPr>
            <w:r>
              <w:rPr>
                <w:rFonts w:ascii="宋体" w:hAnsi="宋体"/>
                <w:szCs w:val="21"/>
              </w:rPr>
              <w:t>0.4</w:t>
            </w:r>
            <w:r>
              <w:rPr>
                <w:rFonts w:hint="eastAsia" w:ascii="宋体" w:hAnsi="宋体"/>
                <w:szCs w:val="21"/>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1" w:hRule="atLeast"/>
        </w:trPr>
        <w:tc>
          <w:tcPr>
            <w:tcW w:w="2268" w:type="dxa"/>
            <w:gridSpan w:val="4"/>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宋体"/>
                <w:szCs w:val="21"/>
              </w:rPr>
            </w:pPr>
          </w:p>
        </w:tc>
        <w:tc>
          <w:tcPr>
            <w:tcW w:w="26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szCs w:val="21"/>
              </w:rPr>
            </w:pPr>
            <w:r>
              <w:rPr>
                <w:rFonts w:hint="eastAsia" w:ascii="宋体" w:hAnsi="宋体"/>
                <w:szCs w:val="21"/>
              </w:rPr>
              <w:t>技术</w:t>
            </w:r>
          </w:p>
        </w:tc>
        <w:tc>
          <w:tcPr>
            <w:tcW w:w="3344" w:type="dxa"/>
            <w:gridSpan w:val="3"/>
            <w:tcBorders>
              <w:top w:val="single" w:color="auto" w:sz="4" w:space="0"/>
              <w:left w:val="single" w:color="auto" w:sz="4" w:space="0"/>
              <w:bottom w:val="single" w:color="auto" w:sz="4" w:space="0"/>
              <w:right w:val="double" w:color="auto" w:sz="4" w:space="0"/>
            </w:tcBorders>
            <w:vAlign w:val="center"/>
          </w:tcPr>
          <w:p>
            <w:pPr>
              <w:adjustRightInd w:val="0"/>
              <w:snapToGrid w:val="0"/>
              <w:spacing w:line="320" w:lineRule="exact"/>
              <w:jc w:val="center"/>
              <w:rPr>
                <w:rFonts w:ascii="宋体" w:hAnsi="宋体"/>
                <w:szCs w:val="21"/>
              </w:rPr>
            </w:pPr>
            <w:r>
              <w:rPr>
                <w:rFonts w:ascii="宋体" w:hAnsi="宋体"/>
                <w:szCs w:val="21"/>
              </w:rPr>
              <w:t>0.4</w:t>
            </w:r>
            <w:r>
              <w:rPr>
                <w:rFonts w:hint="eastAsia" w:ascii="宋体" w:hAnsi="宋体"/>
                <w:szCs w:val="21"/>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2268" w:type="dxa"/>
            <w:gridSpan w:val="4"/>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宋体"/>
                <w:szCs w:val="21"/>
              </w:rPr>
            </w:pPr>
          </w:p>
        </w:tc>
        <w:tc>
          <w:tcPr>
            <w:tcW w:w="26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szCs w:val="21"/>
              </w:rPr>
            </w:pPr>
            <w:r>
              <w:rPr>
                <w:rFonts w:hint="eastAsia" w:ascii="宋体" w:hAnsi="宋体"/>
                <w:szCs w:val="21"/>
              </w:rPr>
              <w:t>价格</w:t>
            </w:r>
          </w:p>
        </w:tc>
        <w:tc>
          <w:tcPr>
            <w:tcW w:w="3344" w:type="dxa"/>
            <w:gridSpan w:val="3"/>
            <w:tcBorders>
              <w:top w:val="single" w:color="auto" w:sz="4" w:space="0"/>
              <w:left w:val="single" w:color="auto" w:sz="4" w:space="0"/>
              <w:bottom w:val="single" w:color="auto" w:sz="4" w:space="0"/>
              <w:right w:val="double" w:color="auto" w:sz="4" w:space="0"/>
            </w:tcBorders>
            <w:vAlign w:val="center"/>
          </w:tcPr>
          <w:p>
            <w:pPr>
              <w:adjustRightInd w:val="0"/>
              <w:snapToGrid w:val="0"/>
              <w:spacing w:line="320" w:lineRule="exact"/>
              <w:jc w:val="center"/>
              <w:rPr>
                <w:rFonts w:ascii="宋体" w:hAnsi="宋体"/>
                <w:szCs w:val="21"/>
              </w:rPr>
            </w:pPr>
            <w:r>
              <w:rPr>
                <w:rFonts w:ascii="宋体" w:hAnsi="宋体"/>
                <w:szCs w:val="21"/>
              </w:rPr>
              <w:t>0.2</w:t>
            </w:r>
            <w:r>
              <w:rPr>
                <w:rFonts w:hint="eastAsia" w:ascii="宋体" w:hAnsi="宋体"/>
                <w:szCs w:val="21"/>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1985" w:type="dxa"/>
            <w:gridSpan w:val="3"/>
            <w:tcBorders>
              <w:top w:val="single" w:color="auto" w:sz="6"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宋体"/>
                <w:b/>
                <w:szCs w:val="21"/>
              </w:rPr>
            </w:pPr>
            <w:r>
              <w:rPr>
                <w:rFonts w:hint="eastAsia" w:ascii="宋体" w:hAnsi="宋体"/>
                <w:b/>
                <w:szCs w:val="21"/>
              </w:rPr>
              <w:t>评审因素</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jc w:val="center"/>
              <w:rPr>
                <w:rFonts w:ascii="宋体"/>
                <w:b/>
                <w:szCs w:val="21"/>
              </w:rPr>
            </w:pPr>
            <w:r>
              <w:rPr>
                <w:rFonts w:hint="eastAsia" w:ascii="宋体" w:hAnsi="宋体"/>
                <w:b/>
                <w:szCs w:val="21"/>
              </w:rPr>
              <w:t>分值</w:t>
            </w:r>
          </w:p>
        </w:tc>
        <w:tc>
          <w:tcPr>
            <w:tcW w:w="5562" w:type="dxa"/>
            <w:gridSpan w:val="4"/>
            <w:tcBorders>
              <w:top w:val="single" w:color="auto" w:sz="6" w:space="0"/>
              <w:left w:val="single" w:color="auto" w:sz="4" w:space="0"/>
              <w:bottom w:val="single" w:color="auto" w:sz="6" w:space="0"/>
              <w:right w:val="double" w:color="auto" w:sz="4" w:space="0"/>
            </w:tcBorders>
            <w:vAlign w:val="center"/>
          </w:tcPr>
          <w:p>
            <w:pPr>
              <w:adjustRightInd w:val="0"/>
              <w:snapToGrid w:val="0"/>
              <w:spacing w:line="320" w:lineRule="exact"/>
              <w:jc w:val="center"/>
              <w:rPr>
                <w:rFonts w:ascii="宋体"/>
                <w:b/>
                <w:szCs w:val="21"/>
              </w:rPr>
            </w:pPr>
            <w:r>
              <w:rPr>
                <w:rFonts w:hint="eastAsia" w:ascii="宋体" w:hAnsi="宋体"/>
                <w:b/>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5" w:hRule="atLeast"/>
        </w:trPr>
        <w:tc>
          <w:tcPr>
            <w:tcW w:w="851" w:type="dxa"/>
            <w:gridSpan w:val="2"/>
            <w:tcBorders>
              <w:top w:val="single" w:color="auto" w:sz="6" w:space="0"/>
              <w:left w:val="single" w:color="auto" w:sz="6" w:space="0"/>
              <w:bottom w:val="single" w:color="auto" w:sz="6" w:space="0"/>
              <w:right w:val="single" w:color="auto" w:sz="4" w:space="0"/>
            </w:tcBorders>
            <w:vAlign w:val="center"/>
          </w:tcPr>
          <w:p>
            <w:pPr>
              <w:adjustRightInd w:val="0"/>
              <w:snapToGrid w:val="0"/>
              <w:spacing w:line="320" w:lineRule="exact"/>
              <w:jc w:val="center"/>
              <w:rPr>
                <w:b/>
                <w:szCs w:val="21"/>
              </w:rPr>
            </w:pPr>
            <w:r>
              <w:rPr>
                <w:rFonts w:hint="eastAsia"/>
                <w:b/>
                <w:szCs w:val="21"/>
              </w:rPr>
              <w:t>投标报价(F1)</w:t>
            </w: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jc w:val="center"/>
              <w:rPr>
                <w:b/>
                <w:szCs w:val="21"/>
              </w:rPr>
            </w:pPr>
            <w:r>
              <w:rPr>
                <w:rFonts w:hint="eastAsia"/>
                <w:b/>
                <w:szCs w:val="21"/>
              </w:rPr>
              <w:t>投标总价</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jc w:val="center"/>
              <w:rPr>
                <w:b/>
                <w:szCs w:val="21"/>
              </w:rPr>
            </w:pPr>
            <w:r>
              <w:rPr>
                <w:rFonts w:hint="eastAsia"/>
                <w:b/>
                <w:szCs w:val="21"/>
              </w:rPr>
              <w:t>100</w:t>
            </w:r>
          </w:p>
        </w:tc>
        <w:tc>
          <w:tcPr>
            <w:tcW w:w="5562" w:type="dxa"/>
            <w:gridSpan w:val="4"/>
            <w:tcBorders>
              <w:top w:val="single" w:color="auto" w:sz="6" w:space="0"/>
              <w:left w:val="single" w:color="auto" w:sz="4" w:space="0"/>
              <w:right w:val="double" w:color="auto" w:sz="4" w:space="0"/>
            </w:tcBorders>
            <w:vAlign w:val="center"/>
          </w:tcPr>
          <w:p>
            <w:pPr>
              <w:adjustRightInd w:val="0"/>
              <w:snapToGrid w:val="0"/>
              <w:spacing w:line="320" w:lineRule="exact"/>
              <w:rPr>
                <w:rFonts w:ascii="宋体" w:cs="宋体"/>
                <w:szCs w:val="21"/>
              </w:rPr>
            </w:pPr>
            <w:r>
              <w:rPr>
                <w:rFonts w:hint="eastAsia" w:ascii="宋体" w:hAnsi="宋体" w:cs="宋体"/>
                <w:szCs w:val="21"/>
              </w:rPr>
              <w:t>满足招标文件基本资格要求、特定资格要求、实质性条款要求且投标报价中最低的投标报价为评标基准价其价格分为满分；其他投标人的价格分统一按照以下公式计算：投标报价得分</w:t>
            </w:r>
            <w:r>
              <w:rPr>
                <w:rFonts w:ascii="宋体" w:hAnsi="宋体" w:cs="宋体"/>
                <w:szCs w:val="21"/>
              </w:rPr>
              <w:t>=</w:t>
            </w:r>
            <w:r>
              <w:rPr>
                <w:rFonts w:hint="eastAsia" w:ascii="宋体" w:hAnsi="宋体" w:cs="宋体"/>
                <w:szCs w:val="21"/>
              </w:rPr>
              <w:t>（评标基准价</w:t>
            </w:r>
            <w:r>
              <w:rPr>
                <w:rFonts w:ascii="宋体" w:hAnsi="宋体" w:cs="宋体"/>
                <w:szCs w:val="21"/>
              </w:rPr>
              <w:t>/</w:t>
            </w:r>
            <w:r>
              <w:rPr>
                <w:rFonts w:hint="eastAsia" w:ascii="宋体" w:hAnsi="宋体" w:cs="宋体"/>
                <w:szCs w:val="21"/>
              </w:rPr>
              <w:t>投标报价）×100</w:t>
            </w:r>
          </w:p>
          <w:p>
            <w:pPr>
              <w:adjustRightInd w:val="0"/>
              <w:snapToGrid w:val="0"/>
              <w:spacing w:line="320" w:lineRule="exact"/>
              <w:rPr>
                <w:rFonts w:ascii="宋体" w:cs="宋体"/>
                <w:szCs w:val="21"/>
              </w:rPr>
            </w:pPr>
            <w:r>
              <w:rPr>
                <w:rFonts w:hint="eastAsia" w:ascii="宋体" w:hAnsi="宋体" w:cs="宋体"/>
                <w:szCs w:val="21"/>
              </w:rPr>
              <w:t>注：此栏中的计分因素“投标报价”为依据政策调整后的投标报价。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37" w:hRule="atLeast"/>
        </w:trPr>
        <w:tc>
          <w:tcPr>
            <w:tcW w:w="851" w:type="dxa"/>
            <w:gridSpan w:val="2"/>
            <w:vMerge w:val="restart"/>
            <w:tcBorders>
              <w:top w:val="single" w:color="auto" w:sz="6" w:space="0"/>
              <w:left w:val="single" w:color="auto" w:sz="6" w:space="0"/>
              <w:right w:val="single" w:color="auto" w:sz="4" w:space="0"/>
            </w:tcBorders>
            <w:vAlign w:val="center"/>
          </w:tcPr>
          <w:p>
            <w:pPr>
              <w:adjustRightInd w:val="0"/>
              <w:snapToGrid w:val="0"/>
              <w:spacing w:line="320" w:lineRule="exact"/>
              <w:jc w:val="center"/>
              <w:rPr>
                <w:b/>
                <w:szCs w:val="21"/>
              </w:rPr>
            </w:pPr>
            <w:r>
              <w:rPr>
                <w:rFonts w:hint="eastAsia" w:ascii="宋体" w:hAnsi="宋体"/>
                <w:b/>
                <w:bCs/>
                <w:szCs w:val="21"/>
              </w:rPr>
              <w:t>技术性能(F2)</w:t>
            </w:r>
          </w:p>
        </w:tc>
        <w:tc>
          <w:tcPr>
            <w:tcW w:w="1134" w:type="dxa"/>
            <w:tcBorders>
              <w:top w:val="single" w:color="auto" w:sz="6" w:space="0"/>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r>
              <w:rPr>
                <w:rFonts w:hint="eastAsia" w:ascii="宋体" w:hAnsi="宋体"/>
                <w:szCs w:val="21"/>
              </w:rPr>
              <w:t>满足招标文件技术要求程度</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r>
              <w:rPr>
                <w:rFonts w:ascii="宋体" w:hAnsi="宋体"/>
                <w:szCs w:val="21"/>
              </w:rPr>
              <w:t>20</w:t>
            </w:r>
          </w:p>
        </w:tc>
        <w:tc>
          <w:tcPr>
            <w:tcW w:w="5562" w:type="dxa"/>
            <w:gridSpan w:val="4"/>
            <w:tcBorders>
              <w:top w:val="single" w:color="auto" w:sz="6" w:space="0"/>
              <w:left w:val="single" w:color="auto" w:sz="4" w:space="0"/>
              <w:right w:val="double" w:color="auto" w:sz="4" w:space="0"/>
            </w:tcBorders>
          </w:tcPr>
          <w:p>
            <w:pPr>
              <w:widowControl/>
              <w:tabs>
                <w:tab w:val="left" w:pos="1988"/>
              </w:tabs>
              <w:spacing w:line="360" w:lineRule="exact"/>
              <w:rPr>
                <w:rFonts w:ascii="宋体" w:hAnsi="宋体"/>
                <w:szCs w:val="21"/>
              </w:rPr>
            </w:pPr>
            <w:r>
              <w:rPr>
                <w:rFonts w:hint="eastAsia" w:ascii="宋体" w:hAnsi="宋体"/>
                <w:szCs w:val="21"/>
              </w:rPr>
              <w:t>完全满足招标文件技术指标的计</w:t>
            </w:r>
            <w:r>
              <w:rPr>
                <w:rFonts w:ascii="宋体" w:hAnsi="宋体"/>
                <w:szCs w:val="21"/>
              </w:rPr>
              <w:t xml:space="preserve"> 2</w:t>
            </w:r>
            <w:r>
              <w:rPr>
                <w:rFonts w:hint="eastAsia" w:ascii="宋体" w:hAnsi="宋体"/>
                <w:szCs w:val="21"/>
              </w:rPr>
              <w:t>0</w:t>
            </w:r>
            <w:r>
              <w:rPr>
                <w:rFonts w:ascii="宋体" w:hAnsi="宋体"/>
                <w:szCs w:val="21"/>
              </w:rPr>
              <w:t xml:space="preserve">分，一般技术条款（ </w:t>
            </w:r>
            <w:r>
              <w:rPr>
                <w:rFonts w:hint="eastAsia" w:ascii="宋体" w:hAnsi="宋体"/>
                <w:szCs w:val="21"/>
              </w:rPr>
              <w:t>非“★”条款）每负偏离一项扣</w:t>
            </w:r>
            <w:r>
              <w:rPr>
                <w:rFonts w:ascii="宋体" w:hAnsi="宋体"/>
                <w:szCs w:val="21"/>
              </w:rPr>
              <w:t xml:space="preserve">2分 </w:t>
            </w:r>
            <w:r>
              <w:rPr>
                <w:rFonts w:hint="eastAsia" w:ascii="宋体" w:hAnsi="宋体"/>
                <w:szCs w:val="21"/>
              </w:rPr>
              <w:t>；如应答时缺项，则视同负偏离处理。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trPr>
        <w:tc>
          <w:tcPr>
            <w:tcW w:w="851" w:type="dxa"/>
            <w:gridSpan w:val="2"/>
            <w:vMerge w:val="continue"/>
            <w:tcBorders>
              <w:left w:val="single" w:color="auto" w:sz="6" w:space="0"/>
              <w:right w:val="single" w:color="auto" w:sz="4" w:space="0"/>
            </w:tcBorders>
            <w:vAlign w:val="center"/>
          </w:tcPr>
          <w:p>
            <w:pPr>
              <w:adjustRightInd w:val="0"/>
              <w:snapToGrid w:val="0"/>
              <w:spacing w:line="320" w:lineRule="exact"/>
              <w:jc w:val="center"/>
              <w:rPr>
                <w:rFonts w:ascii="宋体"/>
                <w:b/>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r>
              <w:rPr>
                <w:rFonts w:hint="eastAsia" w:ascii="宋体" w:hAnsi="宋体"/>
                <w:szCs w:val="21"/>
              </w:rPr>
              <w:t>项目实施方案</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r>
              <w:rPr>
                <w:rFonts w:ascii="宋体" w:hAnsi="宋体"/>
                <w:szCs w:val="21"/>
              </w:rPr>
              <w:t>20</w:t>
            </w:r>
          </w:p>
        </w:tc>
        <w:tc>
          <w:tcPr>
            <w:tcW w:w="5562" w:type="dxa"/>
            <w:gridSpan w:val="4"/>
            <w:tcBorders>
              <w:top w:val="single" w:color="auto" w:sz="4" w:space="0"/>
              <w:left w:val="single" w:color="auto" w:sz="4" w:space="0"/>
              <w:bottom w:val="single" w:color="auto" w:sz="6" w:space="0"/>
              <w:right w:val="double" w:color="auto" w:sz="4" w:space="0"/>
            </w:tcBorders>
          </w:tcPr>
          <w:p>
            <w:pPr>
              <w:widowControl/>
              <w:tabs>
                <w:tab w:val="left" w:pos="1988"/>
              </w:tabs>
              <w:spacing w:line="360" w:lineRule="exact"/>
              <w:rPr>
                <w:rFonts w:ascii="宋体" w:hAnsi="宋体"/>
                <w:szCs w:val="21"/>
              </w:rPr>
            </w:pPr>
            <w:r>
              <w:rPr>
                <w:rFonts w:hint="eastAsia" w:ascii="宋体" w:hAnsi="宋体"/>
                <w:szCs w:val="21"/>
              </w:rPr>
              <w:t>以招标文件的技术要求为基准，应详细描述项目实施中涉及到的各个方面，包括人员安排、安全域划分拓扑图、项目分工界面、现场实施工作表单，符合项目要求的接入点示意图等。分档计分：优计</w:t>
            </w:r>
            <w:r>
              <w:rPr>
                <w:rFonts w:ascii="宋体" w:hAnsi="宋体"/>
                <w:szCs w:val="21"/>
              </w:rPr>
              <w:t>20分,良计10分,一般计</w:t>
            </w:r>
            <w:r>
              <w:rPr>
                <w:rFonts w:hint="eastAsia" w:ascii="宋体" w:hAnsi="宋体"/>
                <w:szCs w:val="21"/>
              </w:rPr>
              <w:t>5</w:t>
            </w:r>
            <w:r>
              <w:rPr>
                <w:rFonts w:ascii="宋体" w:hAnsi="宋体"/>
                <w:szCs w:val="21"/>
              </w:rPr>
              <w:t>分。</w:t>
            </w:r>
            <w:r>
              <w:rPr>
                <w:rFonts w:hint="eastAsia" w:ascii="宋体" w:hAnsi="宋体"/>
                <w:szCs w:val="21"/>
              </w:rPr>
              <w:t>（以上三档，每档取一名，其他不计分）。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18" w:hRule="atLeast"/>
        </w:trPr>
        <w:tc>
          <w:tcPr>
            <w:tcW w:w="851" w:type="dxa"/>
            <w:gridSpan w:val="2"/>
            <w:vMerge w:val="continue"/>
            <w:tcBorders>
              <w:left w:val="single" w:color="auto" w:sz="6" w:space="0"/>
              <w:right w:val="single" w:color="auto" w:sz="4" w:space="0"/>
            </w:tcBorders>
            <w:vAlign w:val="center"/>
          </w:tcPr>
          <w:p>
            <w:pPr>
              <w:adjustRightInd w:val="0"/>
              <w:snapToGrid w:val="0"/>
              <w:spacing w:line="320" w:lineRule="exact"/>
              <w:jc w:val="center"/>
              <w:rPr>
                <w:rFonts w:ascii="宋体"/>
                <w:b/>
                <w:szCs w:val="21"/>
              </w:rPr>
            </w:pPr>
          </w:p>
        </w:tc>
        <w:tc>
          <w:tcPr>
            <w:tcW w:w="1134" w:type="dxa"/>
            <w:tcBorders>
              <w:top w:val="single" w:color="auto" w:sz="6" w:space="0"/>
              <w:left w:val="single" w:color="auto" w:sz="4" w:space="0"/>
              <w:right w:val="single" w:color="auto" w:sz="4" w:space="0"/>
            </w:tcBorders>
            <w:vAlign w:val="center"/>
          </w:tcPr>
          <w:p>
            <w:pPr>
              <w:widowControl/>
              <w:tabs>
                <w:tab w:val="left" w:pos="1988"/>
              </w:tabs>
              <w:spacing w:line="360" w:lineRule="exact"/>
              <w:jc w:val="center"/>
              <w:rPr>
                <w:rFonts w:ascii="宋体" w:hAnsi="宋体"/>
                <w:szCs w:val="21"/>
              </w:rPr>
            </w:pPr>
            <w:r>
              <w:rPr>
                <w:rFonts w:hint="eastAsia" w:ascii="宋体" w:hAnsi="宋体"/>
                <w:szCs w:val="21"/>
              </w:rPr>
              <w:t>技术实力</w:t>
            </w:r>
          </w:p>
        </w:tc>
        <w:tc>
          <w:tcPr>
            <w:tcW w:w="708" w:type="dxa"/>
            <w:gridSpan w:val="2"/>
            <w:tcBorders>
              <w:top w:val="single" w:color="auto" w:sz="6" w:space="0"/>
              <w:left w:val="single" w:color="auto" w:sz="4" w:space="0"/>
              <w:right w:val="single" w:color="auto" w:sz="4" w:space="0"/>
            </w:tcBorders>
            <w:vAlign w:val="center"/>
          </w:tcPr>
          <w:p>
            <w:pPr>
              <w:widowControl/>
              <w:tabs>
                <w:tab w:val="left" w:pos="1988"/>
              </w:tabs>
              <w:spacing w:line="360" w:lineRule="exact"/>
              <w:rPr>
                <w:rFonts w:ascii="宋体" w:hAnsi="宋体"/>
                <w:szCs w:val="21"/>
              </w:rPr>
            </w:pPr>
            <w:r>
              <w:rPr>
                <w:rFonts w:ascii="宋体" w:hAnsi="宋体"/>
                <w:szCs w:val="21"/>
              </w:rPr>
              <w:t xml:space="preserve"> 60</w:t>
            </w:r>
          </w:p>
        </w:tc>
        <w:tc>
          <w:tcPr>
            <w:tcW w:w="5562" w:type="dxa"/>
            <w:gridSpan w:val="4"/>
            <w:tcBorders>
              <w:top w:val="single" w:color="auto" w:sz="4" w:space="0"/>
              <w:left w:val="single" w:color="auto" w:sz="4" w:space="0"/>
              <w:right w:val="double" w:color="auto" w:sz="4" w:space="0"/>
            </w:tcBorders>
          </w:tcPr>
          <w:p>
            <w:pPr>
              <w:widowControl/>
              <w:tabs>
                <w:tab w:val="left" w:pos="1988"/>
              </w:tabs>
              <w:spacing w:line="360" w:lineRule="exact"/>
              <w:rPr>
                <w:rFonts w:ascii="宋体" w:hAnsi="宋体"/>
                <w:szCs w:val="21"/>
              </w:rPr>
            </w:pPr>
            <w:r>
              <w:rPr>
                <w:rFonts w:hint="eastAsia" w:ascii="宋体" w:hAnsi="宋体"/>
                <w:szCs w:val="21"/>
              </w:rPr>
              <w:t>■投标人具</w:t>
            </w:r>
            <w:r>
              <w:rPr>
                <w:rFonts w:hint="eastAsia" w:ascii="宋体" w:hAnsi="宋体"/>
                <w:color w:val="000000"/>
                <w:szCs w:val="21"/>
              </w:rPr>
              <w:t>有中国合格评定国家认可委员会CNAS检验机构认可证书的计</w:t>
            </w:r>
            <w:r>
              <w:rPr>
                <w:rFonts w:ascii="宋体" w:hAnsi="宋体"/>
                <w:color w:val="000000"/>
                <w:szCs w:val="21"/>
              </w:rPr>
              <w:t>1</w:t>
            </w:r>
            <w:r>
              <w:rPr>
                <w:rFonts w:hint="eastAsia" w:ascii="宋体" w:hAnsi="宋体"/>
                <w:color w:val="000000"/>
                <w:szCs w:val="21"/>
              </w:rPr>
              <w:t>0</w:t>
            </w:r>
            <w:r>
              <w:rPr>
                <w:rFonts w:ascii="宋体" w:hAnsi="宋体"/>
                <w:color w:val="000000"/>
                <w:szCs w:val="21"/>
              </w:rPr>
              <w:t>分</w:t>
            </w:r>
            <w:r>
              <w:rPr>
                <w:rFonts w:hint="eastAsia" w:ascii="宋体" w:hAnsi="宋体"/>
                <w:color w:val="000000"/>
                <w:szCs w:val="21"/>
              </w:rPr>
              <w:t>（提供</w:t>
            </w:r>
            <w:r>
              <w:rPr>
                <w:rFonts w:hint="eastAsia" w:ascii="宋体" w:hAnsi="宋体"/>
                <w:szCs w:val="21"/>
              </w:rPr>
              <w:t>证书复印件并加盖公章）</w:t>
            </w:r>
          </w:p>
          <w:p>
            <w:pPr>
              <w:widowControl/>
              <w:tabs>
                <w:tab w:val="left" w:pos="1988"/>
              </w:tabs>
              <w:spacing w:line="360" w:lineRule="exact"/>
              <w:rPr>
                <w:rFonts w:ascii="宋体" w:hAnsi="宋体"/>
                <w:szCs w:val="21"/>
              </w:rPr>
            </w:pPr>
            <w:r>
              <w:rPr>
                <w:rFonts w:hint="eastAsia" w:ascii="宋体" w:hAnsi="宋体"/>
                <w:szCs w:val="21"/>
              </w:rPr>
              <w:t>■投标人具有高级信息安全</w:t>
            </w:r>
            <w:r>
              <w:rPr>
                <w:rFonts w:ascii="宋体" w:hAnsi="宋体"/>
                <w:szCs w:val="21"/>
              </w:rPr>
              <w:t>等级测评师</w:t>
            </w:r>
            <w:r>
              <w:rPr>
                <w:rFonts w:hint="eastAsia" w:ascii="宋体" w:hAnsi="宋体"/>
                <w:szCs w:val="21"/>
              </w:rPr>
              <w:t>或者CISP证书的,</w:t>
            </w:r>
            <w:r>
              <w:rPr>
                <w:rFonts w:ascii="宋体" w:hAnsi="宋体"/>
                <w:szCs w:val="21"/>
              </w:rPr>
              <w:t>计</w:t>
            </w:r>
            <w:r>
              <w:rPr>
                <w:rFonts w:hint="eastAsia" w:ascii="宋体" w:hAnsi="宋体"/>
                <w:szCs w:val="21"/>
              </w:rPr>
              <w:t>5分</w:t>
            </w:r>
            <w:r>
              <w:rPr>
                <w:rFonts w:ascii="宋体" w:hAnsi="宋体"/>
                <w:szCs w:val="21"/>
              </w:rPr>
              <w:t>（提供证书复印件和</w:t>
            </w:r>
            <w:r>
              <w:rPr>
                <w:rFonts w:hint="eastAsia" w:ascii="宋体" w:hAnsi="宋体"/>
                <w:szCs w:val="21"/>
              </w:rPr>
              <w:t>相关人员</w:t>
            </w:r>
            <w:r>
              <w:rPr>
                <w:rFonts w:ascii="宋体" w:hAnsi="宋体"/>
                <w:szCs w:val="21"/>
              </w:rPr>
              <w:t>在投标单位近三个月的社保证明</w:t>
            </w:r>
            <w:r>
              <w:rPr>
                <w:rFonts w:hint="eastAsia" w:ascii="宋体" w:hAnsi="宋体"/>
                <w:szCs w:val="21"/>
              </w:rPr>
              <w:t>。）</w:t>
            </w:r>
          </w:p>
          <w:p>
            <w:pPr>
              <w:widowControl/>
              <w:tabs>
                <w:tab w:val="left" w:pos="1988"/>
              </w:tabs>
              <w:spacing w:line="360" w:lineRule="exact"/>
              <w:rPr>
                <w:rFonts w:ascii="宋体" w:hAnsi="宋体"/>
                <w:szCs w:val="21"/>
              </w:rPr>
            </w:pPr>
            <w:r>
              <w:rPr>
                <w:rFonts w:hint="eastAsia" w:ascii="宋体" w:hAnsi="宋体"/>
                <w:szCs w:val="21"/>
              </w:rPr>
              <w:t>■投标人参与本项目的测评师于2017年获得国家信息安全等级保护工作协调小组办公室颁发荣誉证书的计10分（</w:t>
            </w:r>
            <w:r>
              <w:rPr>
                <w:rFonts w:ascii="宋体" w:hAnsi="宋体"/>
                <w:szCs w:val="21"/>
              </w:rPr>
              <w:t>提供测评师证书和荣誉证书的复印件</w:t>
            </w:r>
            <w:r>
              <w:rPr>
                <w:rFonts w:hint="eastAsia" w:ascii="宋体" w:hAnsi="宋体"/>
                <w:szCs w:val="21"/>
              </w:rPr>
              <w:t>及相关人员</w:t>
            </w:r>
            <w:r>
              <w:rPr>
                <w:rFonts w:ascii="宋体" w:hAnsi="宋体"/>
                <w:szCs w:val="21"/>
              </w:rPr>
              <w:t>在投标单位近三个月的社保证明</w:t>
            </w:r>
            <w:r>
              <w:rPr>
                <w:rFonts w:hint="eastAsia" w:ascii="宋体" w:hAnsi="宋体"/>
                <w:szCs w:val="21"/>
              </w:rPr>
              <w:t>）</w:t>
            </w:r>
          </w:p>
          <w:p>
            <w:pPr>
              <w:tabs>
                <w:tab w:val="left" w:pos="1988"/>
              </w:tabs>
              <w:spacing w:line="360" w:lineRule="exact"/>
              <w:rPr>
                <w:kern w:val="0"/>
                <w:szCs w:val="21"/>
              </w:rPr>
            </w:pPr>
            <w:r>
              <w:rPr>
                <w:rFonts w:hint="eastAsia" w:ascii="宋体" w:hAnsi="宋体"/>
                <w:szCs w:val="21"/>
              </w:rPr>
              <w:t>■投标人具有公安部等级保护评估中心核发的重要信息系统保护人员CIIP-A</w:t>
            </w:r>
            <w:r>
              <w:rPr>
                <w:rFonts w:hint="eastAsia"/>
                <w:kern w:val="0"/>
                <w:szCs w:val="21"/>
              </w:rPr>
              <w:t>的资质的工程师,每个人员计5分（提供证书复印件并加盖公章</w:t>
            </w:r>
            <w:r>
              <w:rPr>
                <w:rFonts w:ascii="宋体" w:hAnsi="宋体"/>
                <w:szCs w:val="21"/>
              </w:rPr>
              <w:t>和</w:t>
            </w:r>
            <w:r>
              <w:rPr>
                <w:rFonts w:hint="eastAsia" w:ascii="宋体" w:hAnsi="宋体"/>
                <w:szCs w:val="21"/>
              </w:rPr>
              <w:t>相关人员</w:t>
            </w:r>
            <w:r>
              <w:rPr>
                <w:rFonts w:ascii="宋体" w:hAnsi="宋体"/>
                <w:szCs w:val="21"/>
              </w:rPr>
              <w:t>在投标单位近三个月的社保证明</w:t>
            </w:r>
            <w:r>
              <w:rPr>
                <w:rFonts w:hint="eastAsia"/>
                <w:kern w:val="0"/>
                <w:szCs w:val="21"/>
              </w:rPr>
              <w:t>）最多计15分。</w:t>
            </w:r>
          </w:p>
          <w:p>
            <w:pPr>
              <w:tabs>
                <w:tab w:val="left" w:pos="1988"/>
              </w:tabs>
              <w:spacing w:line="360" w:lineRule="exact"/>
              <w:rPr>
                <w:kern w:val="0"/>
                <w:szCs w:val="21"/>
              </w:rPr>
            </w:pPr>
            <w:r>
              <w:rPr>
                <w:rFonts w:hint="eastAsia" w:ascii="宋体" w:hAnsi="宋体"/>
                <w:szCs w:val="21"/>
              </w:rPr>
              <w:t>■</w:t>
            </w:r>
            <w:r>
              <w:rPr>
                <w:rFonts w:hint="eastAsia"/>
                <w:kern w:val="0"/>
                <w:szCs w:val="21"/>
              </w:rPr>
              <w:t>投标人具有《网络安全等级保护测评机构》证书计10分（提供复印件）</w:t>
            </w:r>
          </w:p>
          <w:p>
            <w:pPr>
              <w:tabs>
                <w:tab w:val="left" w:pos="1988"/>
              </w:tabs>
              <w:spacing w:line="360" w:lineRule="exact"/>
              <w:rPr>
                <w:rFonts w:ascii="宋体" w:hAnsi="宋体"/>
                <w:szCs w:val="21"/>
              </w:rPr>
            </w:pPr>
            <w:r>
              <w:rPr>
                <w:rFonts w:hint="eastAsia" w:ascii="宋体" w:hAnsi="宋体"/>
                <w:szCs w:val="21"/>
              </w:rPr>
              <w:t>■投标人具有中国互联网协会网络与信息安全工作委员会</w:t>
            </w:r>
          </w:p>
          <w:p>
            <w:pPr>
              <w:tabs>
                <w:tab w:val="left" w:pos="1988"/>
              </w:tabs>
              <w:spacing w:line="360" w:lineRule="exact"/>
              <w:rPr>
                <w:rFonts w:ascii="宋体" w:hAnsi="宋体"/>
                <w:szCs w:val="21"/>
              </w:rPr>
            </w:pPr>
            <w:r>
              <w:rPr>
                <w:rFonts w:hint="eastAsia" w:ascii="宋体" w:hAnsi="宋体"/>
                <w:szCs w:val="21"/>
              </w:rPr>
              <w:t>国家互联网应急中心 (CNCERT)颁发的“国家信息安全漏洞共享平台原创漏洞证明”证书的计10分。</w:t>
            </w:r>
            <w:r>
              <w:rPr>
                <w:rFonts w:ascii="宋体" w:hAnsi="宋体"/>
                <w:szCs w:val="21"/>
              </w:rPr>
              <w:t>（提供证书复印件和</w:t>
            </w:r>
            <w:r>
              <w:rPr>
                <w:rFonts w:hint="eastAsia" w:ascii="宋体" w:hAnsi="宋体"/>
                <w:szCs w:val="21"/>
              </w:rPr>
              <w:t>相关漏洞发掘人员</w:t>
            </w:r>
            <w:r>
              <w:rPr>
                <w:rFonts w:ascii="宋体" w:hAnsi="宋体"/>
                <w:szCs w:val="21"/>
              </w:rPr>
              <w:t>在投标单位近三个月的社保证明）。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851" w:type="dxa"/>
            <w:gridSpan w:val="2"/>
            <w:vMerge w:val="restart"/>
            <w:tcBorders>
              <w:top w:val="single" w:color="auto" w:sz="6" w:space="0"/>
              <w:left w:val="single" w:color="auto" w:sz="6" w:space="0"/>
              <w:right w:val="single" w:color="auto" w:sz="4" w:space="0"/>
            </w:tcBorders>
            <w:vAlign w:val="center"/>
          </w:tcPr>
          <w:p>
            <w:pPr>
              <w:adjustRightInd w:val="0"/>
              <w:snapToGrid w:val="0"/>
              <w:spacing w:line="320" w:lineRule="exact"/>
              <w:jc w:val="center"/>
              <w:rPr>
                <w:rFonts w:ascii="宋体"/>
                <w:b/>
                <w:szCs w:val="21"/>
              </w:rPr>
            </w:pPr>
            <w:r>
              <w:rPr>
                <w:rFonts w:hint="eastAsia" w:ascii="宋体" w:hAnsi="宋体"/>
                <w:b/>
                <w:bCs/>
                <w:szCs w:val="21"/>
              </w:rPr>
              <w:t>商务部分(F3)</w:t>
            </w:r>
          </w:p>
        </w:tc>
        <w:tc>
          <w:tcPr>
            <w:tcW w:w="1134" w:type="dxa"/>
            <w:vMerge w:val="restart"/>
            <w:tcBorders>
              <w:top w:val="single" w:color="auto" w:sz="6" w:space="0"/>
              <w:left w:val="single" w:color="auto" w:sz="4" w:space="0"/>
              <w:right w:val="single" w:color="auto" w:sz="4" w:space="0"/>
            </w:tcBorders>
            <w:vAlign w:val="center"/>
          </w:tcPr>
          <w:p>
            <w:pPr>
              <w:widowControl/>
              <w:tabs>
                <w:tab w:val="left" w:pos="1988"/>
              </w:tabs>
              <w:spacing w:line="360" w:lineRule="exact"/>
              <w:jc w:val="center"/>
              <w:rPr>
                <w:rFonts w:ascii="宋体" w:hAnsi="宋体"/>
                <w:szCs w:val="21"/>
              </w:rPr>
            </w:pPr>
            <w:r>
              <w:rPr>
                <w:rFonts w:hint="eastAsia" w:ascii="宋体" w:hAnsi="宋体"/>
                <w:szCs w:val="21"/>
              </w:rPr>
              <w:t>资质能力</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r>
              <w:rPr>
                <w:rFonts w:ascii="宋体" w:hAnsi="宋体"/>
                <w:szCs w:val="21"/>
              </w:rPr>
              <w:t>10</w:t>
            </w:r>
          </w:p>
        </w:tc>
        <w:tc>
          <w:tcPr>
            <w:tcW w:w="5562" w:type="dxa"/>
            <w:gridSpan w:val="4"/>
            <w:tcBorders>
              <w:top w:val="single" w:color="auto" w:sz="6" w:space="0"/>
              <w:left w:val="single" w:color="auto" w:sz="4" w:space="0"/>
              <w:bottom w:val="single" w:color="auto" w:sz="6" w:space="0"/>
              <w:right w:val="double" w:color="auto" w:sz="4" w:space="0"/>
            </w:tcBorders>
          </w:tcPr>
          <w:p>
            <w:pPr>
              <w:widowControl/>
              <w:tabs>
                <w:tab w:val="left" w:pos="1988"/>
              </w:tabs>
              <w:spacing w:line="360" w:lineRule="exact"/>
              <w:rPr>
                <w:rFonts w:ascii="宋体" w:hAnsi="宋体"/>
                <w:szCs w:val="21"/>
              </w:rPr>
            </w:pPr>
            <w:r>
              <w:rPr>
                <w:rFonts w:hint="eastAsia" w:ascii="宋体" w:hAnsi="宋体"/>
                <w:szCs w:val="21"/>
              </w:rPr>
              <w:t>投标人获得公安部信息安全等级保护推荐时间六年以上的计</w:t>
            </w:r>
            <w:r>
              <w:rPr>
                <w:rFonts w:ascii="宋体" w:hAnsi="宋体"/>
                <w:szCs w:val="21"/>
              </w:rPr>
              <w:t>10分，</w:t>
            </w:r>
            <w:r>
              <w:rPr>
                <w:rFonts w:hint="eastAsia" w:ascii="宋体" w:hAnsi="宋体"/>
                <w:szCs w:val="21"/>
              </w:rPr>
              <w:t>三</w:t>
            </w:r>
            <w:r>
              <w:rPr>
                <w:rFonts w:ascii="宋体" w:hAnsi="宋体"/>
                <w:szCs w:val="21"/>
              </w:rPr>
              <w:t>年以上的计</w:t>
            </w:r>
            <w:r>
              <w:rPr>
                <w:rFonts w:hint="eastAsia" w:ascii="宋体" w:hAnsi="宋体"/>
                <w:szCs w:val="21"/>
              </w:rPr>
              <w:t>4</w:t>
            </w:r>
            <w:r>
              <w:rPr>
                <w:rFonts w:ascii="宋体" w:hAnsi="宋体"/>
                <w:szCs w:val="21"/>
              </w:rPr>
              <w:t>分，一年及以内的计2分（提供</w:t>
            </w:r>
            <w:r>
              <w:fldChar w:fldCharType="begin"/>
            </w:r>
            <w:r>
              <w:instrText xml:space="preserve"> HYPERLINK "http://www.djbh.net" </w:instrText>
            </w:r>
            <w:r>
              <w:fldChar w:fldCharType="separate"/>
            </w:r>
            <w:r>
              <w:rPr>
                <w:rFonts w:ascii="宋体" w:hAnsi="宋体"/>
                <w:szCs w:val="21"/>
              </w:rPr>
              <w:t>www.djbh.net</w:t>
            </w:r>
            <w:r>
              <w:rPr>
                <w:rFonts w:ascii="宋体" w:hAnsi="宋体"/>
                <w:szCs w:val="21"/>
              </w:rPr>
              <w:fldChar w:fldCharType="end"/>
            </w:r>
            <w:r>
              <w:rPr>
                <w:rFonts w:hint="eastAsia" w:ascii="宋体" w:hAnsi="宋体"/>
                <w:szCs w:val="21"/>
              </w:rPr>
              <w:t>查询截图文件，未提供证明文件的，不予计分）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851" w:type="dxa"/>
            <w:gridSpan w:val="2"/>
            <w:vMerge w:val="continue"/>
            <w:tcBorders>
              <w:left w:val="single" w:color="auto" w:sz="6" w:space="0"/>
              <w:right w:val="single" w:color="auto" w:sz="4" w:space="0"/>
            </w:tcBorders>
            <w:vAlign w:val="center"/>
          </w:tcPr>
          <w:p>
            <w:pPr>
              <w:adjustRightInd w:val="0"/>
              <w:snapToGrid w:val="0"/>
              <w:spacing w:line="320" w:lineRule="exact"/>
              <w:jc w:val="center"/>
              <w:rPr>
                <w:rFonts w:ascii="宋体" w:hAnsi="宋体"/>
                <w:b/>
                <w:bCs/>
                <w:szCs w:val="21"/>
              </w:rPr>
            </w:pPr>
          </w:p>
        </w:tc>
        <w:tc>
          <w:tcPr>
            <w:tcW w:w="1134" w:type="dxa"/>
            <w:vMerge w:val="continue"/>
            <w:tcBorders>
              <w:left w:val="single" w:color="auto" w:sz="4" w:space="0"/>
              <w:right w:val="single" w:color="auto" w:sz="4" w:space="0"/>
            </w:tcBorders>
            <w:vAlign w:val="center"/>
          </w:tcPr>
          <w:p>
            <w:pPr>
              <w:widowControl/>
              <w:tabs>
                <w:tab w:val="left" w:pos="1988"/>
              </w:tabs>
              <w:spacing w:line="360" w:lineRule="exact"/>
              <w:jc w:val="center"/>
              <w:rPr>
                <w:rFonts w:ascii="宋体" w:hAnsi="宋体"/>
                <w:szCs w:val="21"/>
              </w:rPr>
            </w:pPr>
          </w:p>
        </w:tc>
        <w:tc>
          <w:tcPr>
            <w:tcW w:w="708" w:type="dxa"/>
            <w:gridSpan w:val="2"/>
            <w:tcBorders>
              <w:top w:val="single" w:color="auto" w:sz="6" w:space="0"/>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r>
              <w:rPr>
                <w:rFonts w:hint="eastAsia" w:ascii="宋体" w:hAnsi="宋体"/>
                <w:szCs w:val="21"/>
              </w:rPr>
              <w:t>20</w:t>
            </w:r>
          </w:p>
        </w:tc>
        <w:tc>
          <w:tcPr>
            <w:tcW w:w="5562" w:type="dxa"/>
            <w:gridSpan w:val="4"/>
            <w:tcBorders>
              <w:top w:val="single" w:color="auto" w:sz="6" w:space="0"/>
              <w:left w:val="single" w:color="auto" w:sz="4" w:space="0"/>
              <w:bottom w:val="single" w:color="auto" w:sz="6" w:space="0"/>
              <w:right w:val="double" w:color="auto" w:sz="4" w:space="0"/>
            </w:tcBorders>
          </w:tcPr>
          <w:p>
            <w:pPr>
              <w:widowControl/>
              <w:tabs>
                <w:tab w:val="left" w:pos="1988"/>
              </w:tabs>
              <w:spacing w:line="360" w:lineRule="exact"/>
              <w:rPr>
                <w:rFonts w:ascii="宋体" w:hAnsi="宋体"/>
                <w:szCs w:val="21"/>
              </w:rPr>
            </w:pPr>
            <w:r>
              <w:rPr>
                <w:rFonts w:hint="eastAsia" w:ascii="宋体" w:hAnsi="宋体"/>
                <w:szCs w:val="21"/>
              </w:rPr>
              <w:t>投标人</w:t>
            </w:r>
            <w:r>
              <w:rPr>
                <w:rFonts w:ascii="宋体" w:hAnsi="宋体"/>
                <w:szCs w:val="21"/>
              </w:rPr>
              <w:t>具有</w:t>
            </w:r>
            <w:r>
              <w:rPr>
                <w:rFonts w:hint="eastAsia" w:ascii="宋体" w:hAnsi="宋体"/>
                <w:szCs w:val="21"/>
              </w:rPr>
              <w:t>省级及</w:t>
            </w:r>
            <w:r>
              <w:rPr>
                <w:rFonts w:ascii="宋体" w:hAnsi="宋体"/>
                <w:szCs w:val="21"/>
              </w:rPr>
              <w:t>以上</w:t>
            </w:r>
            <w:r>
              <w:rPr>
                <w:rFonts w:hint="eastAsia" w:ascii="宋体" w:hAnsi="宋体"/>
                <w:szCs w:val="21"/>
              </w:rPr>
              <w:t>保密行政部门颁发的涉密信息系统集成（运行维护）资质证书的，</w:t>
            </w:r>
            <w:r>
              <w:rPr>
                <w:rFonts w:ascii="宋体" w:hAnsi="宋体"/>
                <w:szCs w:val="21"/>
              </w:rPr>
              <w:t>计</w:t>
            </w:r>
            <w:r>
              <w:rPr>
                <w:rFonts w:hint="eastAsia" w:ascii="宋体" w:hAnsi="宋体"/>
                <w:szCs w:val="21"/>
              </w:rPr>
              <w:t>2</w:t>
            </w:r>
            <w:r>
              <w:rPr>
                <w:rFonts w:ascii="宋体" w:hAnsi="宋体"/>
                <w:szCs w:val="21"/>
              </w:rPr>
              <w:t>0</w:t>
            </w:r>
            <w:r>
              <w:rPr>
                <w:rFonts w:hint="eastAsia" w:ascii="宋体" w:hAnsi="宋体"/>
                <w:szCs w:val="21"/>
              </w:rPr>
              <w:t>分（提供证书复印件并加盖公章）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851" w:type="dxa"/>
            <w:gridSpan w:val="2"/>
            <w:vMerge w:val="continue"/>
            <w:tcBorders>
              <w:left w:val="single" w:color="auto" w:sz="6" w:space="0"/>
              <w:right w:val="single" w:color="auto" w:sz="4" w:space="0"/>
            </w:tcBorders>
            <w:vAlign w:val="center"/>
          </w:tcPr>
          <w:p>
            <w:pPr>
              <w:adjustRightInd w:val="0"/>
              <w:snapToGrid w:val="0"/>
              <w:spacing w:line="320" w:lineRule="exact"/>
              <w:jc w:val="center"/>
              <w:rPr>
                <w:rFonts w:ascii="宋体" w:hAnsi="宋体"/>
                <w:b/>
                <w:bCs/>
                <w:szCs w:val="21"/>
              </w:rPr>
            </w:pPr>
          </w:p>
        </w:tc>
        <w:tc>
          <w:tcPr>
            <w:tcW w:w="1134" w:type="dxa"/>
            <w:vMerge w:val="continue"/>
            <w:tcBorders>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p>
        </w:tc>
        <w:tc>
          <w:tcPr>
            <w:tcW w:w="708" w:type="dxa"/>
            <w:gridSpan w:val="2"/>
            <w:tcBorders>
              <w:top w:val="single" w:color="auto" w:sz="6" w:space="0"/>
              <w:left w:val="single" w:color="auto" w:sz="4" w:space="0"/>
              <w:bottom w:val="single" w:color="auto" w:sz="6" w:space="0"/>
              <w:right w:val="single" w:color="auto" w:sz="4" w:space="0"/>
            </w:tcBorders>
            <w:vAlign w:val="center"/>
          </w:tcPr>
          <w:p>
            <w:pPr>
              <w:widowControl/>
              <w:tabs>
                <w:tab w:val="left" w:pos="1988"/>
              </w:tabs>
              <w:spacing w:line="360" w:lineRule="exact"/>
              <w:jc w:val="center"/>
              <w:rPr>
                <w:rFonts w:ascii="宋体" w:hAnsi="宋体"/>
                <w:szCs w:val="21"/>
              </w:rPr>
            </w:pPr>
            <w:r>
              <w:rPr>
                <w:rFonts w:hint="eastAsia" w:ascii="宋体" w:hAnsi="宋体"/>
                <w:szCs w:val="21"/>
              </w:rPr>
              <w:t>15</w:t>
            </w:r>
          </w:p>
        </w:tc>
        <w:tc>
          <w:tcPr>
            <w:tcW w:w="5562" w:type="dxa"/>
            <w:gridSpan w:val="4"/>
            <w:tcBorders>
              <w:top w:val="single" w:color="auto" w:sz="6" w:space="0"/>
              <w:left w:val="single" w:color="auto" w:sz="4" w:space="0"/>
              <w:bottom w:val="single" w:color="auto" w:sz="6" w:space="0"/>
              <w:right w:val="double" w:color="auto" w:sz="4" w:space="0"/>
            </w:tcBorders>
          </w:tcPr>
          <w:p>
            <w:pPr>
              <w:widowControl/>
              <w:tabs>
                <w:tab w:val="left" w:pos="1988"/>
              </w:tabs>
              <w:spacing w:line="360" w:lineRule="exact"/>
              <w:rPr>
                <w:rFonts w:ascii="宋体" w:hAnsi="宋体"/>
                <w:szCs w:val="21"/>
              </w:rPr>
            </w:pPr>
            <w:r>
              <w:rPr>
                <w:rFonts w:hint="eastAsia" w:ascii="宋体" w:hAnsi="宋体"/>
                <w:szCs w:val="21"/>
              </w:rPr>
              <w:t>投标人具有省级及以上质量技术监督局核发的计量认证证书的计</w:t>
            </w:r>
            <w:r>
              <w:rPr>
                <w:rFonts w:ascii="宋体" w:hAnsi="宋体"/>
                <w:szCs w:val="21"/>
              </w:rPr>
              <w:t>1</w:t>
            </w:r>
            <w:r>
              <w:rPr>
                <w:rFonts w:hint="eastAsia" w:ascii="宋体" w:hAnsi="宋体"/>
                <w:szCs w:val="21"/>
              </w:rPr>
              <w:t>5</w:t>
            </w:r>
            <w:r>
              <w:rPr>
                <w:rFonts w:ascii="宋体" w:hAnsi="宋体"/>
                <w:szCs w:val="21"/>
              </w:rPr>
              <w:t>分</w:t>
            </w:r>
            <w:r>
              <w:rPr>
                <w:rFonts w:hint="eastAsia" w:ascii="宋体" w:hAnsi="宋体"/>
                <w:szCs w:val="21"/>
              </w:rPr>
              <w:t>（提供证书复印件并加盖公章）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851" w:type="dxa"/>
            <w:gridSpan w:val="2"/>
            <w:vMerge w:val="continue"/>
            <w:tcBorders>
              <w:left w:val="single" w:color="auto" w:sz="6" w:space="0"/>
              <w:right w:val="single" w:color="auto" w:sz="4" w:space="0"/>
            </w:tcBorders>
            <w:vAlign w:val="center"/>
          </w:tcPr>
          <w:p>
            <w:pPr>
              <w:adjustRightInd w:val="0"/>
              <w:snapToGrid w:val="0"/>
              <w:spacing w:line="320" w:lineRule="exact"/>
              <w:jc w:val="center"/>
              <w:rPr>
                <w:rFonts w:ascii="宋体"/>
                <w:b/>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tabs>
                <w:tab w:val="left" w:pos="1988"/>
              </w:tabs>
              <w:spacing w:line="360" w:lineRule="exact"/>
              <w:jc w:val="center"/>
              <w:rPr>
                <w:rFonts w:ascii="宋体" w:hAnsi="宋体"/>
                <w:b/>
                <w:szCs w:val="21"/>
              </w:rPr>
            </w:pPr>
            <w:r>
              <w:rPr>
                <w:rFonts w:hint="eastAsia" w:ascii="宋体" w:hAnsi="宋体"/>
                <w:szCs w:val="21"/>
              </w:rPr>
              <w:t>同类业绩</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tabs>
                <w:tab w:val="left" w:pos="1988"/>
              </w:tabs>
              <w:spacing w:line="440" w:lineRule="exact"/>
              <w:jc w:val="center"/>
              <w:rPr>
                <w:rFonts w:ascii="宋体" w:hAnsi="宋体"/>
                <w:szCs w:val="21"/>
              </w:rPr>
            </w:pPr>
            <w:r>
              <w:rPr>
                <w:rFonts w:hint="eastAsia" w:ascii="宋体" w:hAnsi="宋体"/>
                <w:szCs w:val="21"/>
              </w:rPr>
              <w:t>10</w:t>
            </w:r>
          </w:p>
        </w:tc>
        <w:tc>
          <w:tcPr>
            <w:tcW w:w="5562" w:type="dxa"/>
            <w:gridSpan w:val="4"/>
            <w:tcBorders>
              <w:top w:val="single" w:color="auto" w:sz="6" w:space="0"/>
              <w:left w:val="single" w:color="auto" w:sz="4" w:space="0"/>
              <w:bottom w:val="single" w:color="auto" w:sz="6" w:space="0"/>
              <w:right w:val="double" w:color="auto" w:sz="4" w:space="0"/>
            </w:tcBorders>
            <w:vAlign w:val="center"/>
          </w:tcPr>
          <w:p>
            <w:pPr>
              <w:adjustRightInd w:val="0"/>
              <w:snapToGrid w:val="0"/>
              <w:spacing w:line="360" w:lineRule="exact"/>
              <w:rPr>
                <w:szCs w:val="21"/>
              </w:rPr>
            </w:pPr>
            <w:r>
              <w:rPr>
                <w:rFonts w:hint="eastAsia" w:ascii="宋体" w:hAnsi="宋体"/>
                <w:szCs w:val="21"/>
              </w:rPr>
              <w:t>投标人提供自2015年以来测评服务案例，每个计2分，最多10分。（须提供加盖投标人公章的项目合同；没提供合同复印件的，不予计分）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851" w:type="dxa"/>
            <w:gridSpan w:val="2"/>
            <w:vMerge w:val="continue"/>
            <w:tcBorders>
              <w:left w:val="single" w:color="auto" w:sz="6" w:space="0"/>
              <w:right w:val="single" w:color="auto" w:sz="4" w:space="0"/>
            </w:tcBorders>
            <w:vAlign w:val="center"/>
          </w:tcPr>
          <w:p>
            <w:pPr>
              <w:adjustRightInd w:val="0"/>
              <w:snapToGrid w:val="0"/>
              <w:spacing w:line="320" w:lineRule="exact"/>
              <w:jc w:val="center"/>
              <w:rPr>
                <w:rFonts w:ascii="宋体"/>
                <w:b/>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tabs>
                <w:tab w:val="left" w:pos="1988"/>
              </w:tabs>
              <w:spacing w:line="360" w:lineRule="exact"/>
              <w:jc w:val="center"/>
              <w:rPr>
                <w:rFonts w:ascii="宋体" w:hAnsi="宋体"/>
                <w:b/>
                <w:szCs w:val="21"/>
              </w:rPr>
            </w:pPr>
            <w:r>
              <w:rPr>
                <w:rFonts w:hint="eastAsia" w:ascii="宋体" w:hAnsi="宋体"/>
                <w:szCs w:val="21"/>
              </w:rPr>
              <w:t>本地服务能力</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tabs>
                <w:tab w:val="left" w:pos="1988"/>
              </w:tabs>
              <w:spacing w:line="440" w:lineRule="exact"/>
              <w:jc w:val="center"/>
              <w:rPr>
                <w:rFonts w:ascii="宋体" w:hAnsi="宋体"/>
                <w:szCs w:val="21"/>
              </w:rPr>
            </w:pPr>
            <w:r>
              <w:rPr>
                <w:rFonts w:ascii="宋体" w:hAnsi="宋体"/>
                <w:szCs w:val="21"/>
              </w:rPr>
              <w:t>20</w:t>
            </w:r>
          </w:p>
        </w:tc>
        <w:tc>
          <w:tcPr>
            <w:tcW w:w="5562" w:type="dxa"/>
            <w:gridSpan w:val="4"/>
            <w:tcBorders>
              <w:top w:val="single" w:color="auto" w:sz="6" w:space="0"/>
              <w:left w:val="single" w:color="auto" w:sz="4" w:space="0"/>
              <w:bottom w:val="single" w:color="auto" w:sz="6" w:space="0"/>
              <w:right w:val="double" w:color="auto" w:sz="4" w:space="0"/>
            </w:tcBorders>
            <w:vAlign w:val="center"/>
          </w:tcPr>
          <w:p>
            <w:pPr>
              <w:adjustRightInd w:val="0"/>
              <w:snapToGrid w:val="0"/>
              <w:spacing w:line="360" w:lineRule="exact"/>
              <w:rPr>
                <w:rFonts w:ascii="宋体" w:hAnsi="宋体"/>
                <w:szCs w:val="21"/>
              </w:rPr>
            </w:pPr>
            <w:r>
              <w:rPr>
                <w:rFonts w:hint="eastAsia" w:ascii="宋体" w:hAnsi="宋体"/>
                <w:szCs w:val="21"/>
              </w:rPr>
              <w:t>投标人在湖南省本地</w:t>
            </w:r>
            <w:r>
              <w:rPr>
                <w:rFonts w:ascii="宋体" w:hAnsi="宋体"/>
                <w:szCs w:val="21"/>
              </w:rPr>
              <w:t>设有服务机构的计20</w:t>
            </w:r>
            <w:r>
              <w:rPr>
                <w:rFonts w:hint="eastAsia" w:ascii="宋体" w:hAnsi="宋体"/>
                <w:szCs w:val="21"/>
              </w:rPr>
              <w:t>分；</w:t>
            </w:r>
            <w:r>
              <w:rPr>
                <w:rFonts w:ascii="宋体" w:hAnsi="宋体"/>
                <w:szCs w:val="21"/>
              </w:rPr>
              <w:t>承诺中标后</w:t>
            </w:r>
            <w:r>
              <w:rPr>
                <w:rFonts w:hint="eastAsia" w:ascii="宋体" w:hAnsi="宋体"/>
                <w:szCs w:val="21"/>
              </w:rPr>
              <w:t>在湖南省本地成立服务</w:t>
            </w:r>
            <w:r>
              <w:rPr>
                <w:rFonts w:ascii="宋体" w:hAnsi="宋体"/>
                <w:szCs w:val="21"/>
              </w:rPr>
              <w:t>机构</w:t>
            </w:r>
            <w:r>
              <w:rPr>
                <w:rFonts w:hint="eastAsia" w:ascii="宋体" w:hAnsi="宋体"/>
                <w:szCs w:val="21"/>
              </w:rPr>
              <w:t>的</w:t>
            </w:r>
            <w:r>
              <w:rPr>
                <w:rFonts w:ascii="宋体" w:hAnsi="宋体"/>
                <w:szCs w:val="21"/>
              </w:rPr>
              <w:t>计</w:t>
            </w:r>
            <w:r>
              <w:rPr>
                <w:rFonts w:hint="eastAsia" w:ascii="宋体" w:hAnsi="宋体"/>
                <w:szCs w:val="21"/>
              </w:rPr>
              <w:t>5分</w:t>
            </w:r>
            <w:r>
              <w:rPr>
                <w:rFonts w:ascii="宋体" w:hAnsi="宋体"/>
                <w:szCs w:val="21"/>
              </w:rPr>
              <w:t>（</w:t>
            </w:r>
            <w:r>
              <w:rPr>
                <w:rFonts w:hint="eastAsia" w:ascii="宋体" w:hAnsi="宋体"/>
                <w:szCs w:val="21"/>
              </w:rPr>
              <w:t>须</w:t>
            </w:r>
            <w:r>
              <w:rPr>
                <w:rFonts w:ascii="宋体" w:hAnsi="宋体"/>
                <w:szCs w:val="21"/>
              </w:rPr>
              <w:t>提供</w:t>
            </w:r>
            <w:r>
              <w:rPr>
                <w:rFonts w:hint="eastAsia" w:ascii="宋体" w:hAnsi="宋体"/>
                <w:szCs w:val="21"/>
              </w:rPr>
              <w:t>湖南省的</w:t>
            </w:r>
            <w:r>
              <w:rPr>
                <w:rFonts w:ascii="宋体" w:hAnsi="宋体"/>
                <w:szCs w:val="21"/>
              </w:rPr>
              <w:t>工商注册证明文件复印件</w:t>
            </w:r>
            <w:r>
              <w:rPr>
                <w:rFonts w:hint="eastAsia" w:ascii="宋体" w:hAnsi="宋体"/>
                <w:szCs w:val="21"/>
              </w:rPr>
              <w:t>或承诺函原件</w:t>
            </w: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851" w:type="dxa"/>
            <w:gridSpan w:val="2"/>
            <w:vMerge w:val="continue"/>
            <w:tcBorders>
              <w:left w:val="single" w:color="auto" w:sz="6" w:space="0"/>
              <w:right w:val="single" w:color="auto" w:sz="4" w:space="0"/>
            </w:tcBorders>
            <w:vAlign w:val="center"/>
          </w:tcPr>
          <w:p>
            <w:pPr>
              <w:adjustRightInd w:val="0"/>
              <w:snapToGrid w:val="0"/>
              <w:spacing w:line="320" w:lineRule="exact"/>
              <w:jc w:val="center"/>
              <w:rPr>
                <w:rFonts w:ascii="宋体"/>
                <w:b/>
                <w:szCs w:val="21"/>
              </w:rPr>
            </w:pPr>
          </w:p>
        </w:tc>
        <w:tc>
          <w:tcPr>
            <w:tcW w:w="1134" w:type="dxa"/>
            <w:vMerge w:val="restart"/>
            <w:tcBorders>
              <w:top w:val="single" w:color="auto" w:sz="6" w:space="0"/>
              <w:left w:val="single" w:color="auto" w:sz="4" w:space="0"/>
              <w:right w:val="single" w:color="auto" w:sz="4" w:space="0"/>
            </w:tcBorders>
            <w:vAlign w:val="center"/>
          </w:tcPr>
          <w:p>
            <w:pPr>
              <w:tabs>
                <w:tab w:val="left" w:pos="1988"/>
              </w:tabs>
              <w:spacing w:line="360" w:lineRule="exact"/>
              <w:jc w:val="center"/>
              <w:rPr>
                <w:rFonts w:ascii="宋体" w:hAnsi="宋体"/>
                <w:b/>
                <w:szCs w:val="21"/>
              </w:rPr>
            </w:pPr>
            <w:r>
              <w:rPr>
                <w:rFonts w:hint="eastAsia" w:ascii="宋体" w:hAnsi="宋体"/>
                <w:szCs w:val="21"/>
              </w:rPr>
              <w:t>企业信誉</w:t>
            </w:r>
          </w:p>
        </w:tc>
        <w:tc>
          <w:tcPr>
            <w:tcW w:w="708" w:type="dxa"/>
            <w:gridSpan w:val="2"/>
            <w:tcBorders>
              <w:top w:val="single" w:color="auto" w:sz="6" w:space="0"/>
              <w:left w:val="single" w:color="auto" w:sz="4" w:space="0"/>
              <w:bottom w:val="single" w:color="auto" w:sz="6" w:space="0"/>
              <w:right w:val="single" w:color="auto" w:sz="4" w:space="0"/>
            </w:tcBorders>
            <w:vAlign w:val="center"/>
          </w:tcPr>
          <w:p>
            <w:pPr>
              <w:tabs>
                <w:tab w:val="left" w:pos="1988"/>
              </w:tabs>
              <w:spacing w:line="440" w:lineRule="exact"/>
              <w:jc w:val="center"/>
              <w:rPr>
                <w:rFonts w:ascii="宋体" w:hAnsi="宋体"/>
                <w:szCs w:val="21"/>
              </w:rPr>
            </w:pPr>
            <w:r>
              <w:rPr>
                <w:rFonts w:ascii="宋体" w:hAnsi="宋体"/>
                <w:szCs w:val="21"/>
              </w:rPr>
              <w:t>15</w:t>
            </w:r>
          </w:p>
        </w:tc>
        <w:tc>
          <w:tcPr>
            <w:tcW w:w="5562" w:type="dxa"/>
            <w:gridSpan w:val="4"/>
            <w:tcBorders>
              <w:top w:val="single" w:color="auto" w:sz="6" w:space="0"/>
              <w:left w:val="single" w:color="auto" w:sz="4" w:space="0"/>
              <w:bottom w:val="single" w:color="auto" w:sz="6" w:space="0"/>
              <w:right w:val="double" w:color="auto" w:sz="4" w:space="0"/>
            </w:tcBorders>
            <w:vAlign w:val="center"/>
          </w:tcPr>
          <w:p>
            <w:pPr>
              <w:adjustRightInd w:val="0"/>
              <w:snapToGrid w:val="0"/>
              <w:spacing w:line="360" w:lineRule="exact"/>
              <w:rPr>
                <w:color w:val="FF0000"/>
                <w:szCs w:val="21"/>
              </w:rPr>
            </w:pPr>
            <w:r>
              <w:rPr>
                <w:rFonts w:hint="eastAsia" w:ascii="宋体" w:hAnsi="宋体"/>
                <w:szCs w:val="21"/>
              </w:rPr>
              <w:t>投标人2016年和2017年都获得国家信息安全等级保护工作协调小组办公室颁发先进单位的</w:t>
            </w:r>
            <w:r>
              <w:rPr>
                <w:rFonts w:ascii="宋体" w:hAnsi="宋体"/>
                <w:szCs w:val="21"/>
              </w:rPr>
              <w:t>得15分（</w:t>
            </w:r>
            <w:r>
              <w:rPr>
                <w:rFonts w:hint="eastAsia" w:ascii="宋体" w:hAnsi="宋体"/>
                <w:szCs w:val="21"/>
              </w:rPr>
              <w:t>投标</w:t>
            </w:r>
            <w:r>
              <w:rPr>
                <w:rFonts w:ascii="宋体" w:hAnsi="宋体"/>
                <w:szCs w:val="21"/>
              </w:rPr>
              <w:t>时须提供</w:t>
            </w:r>
            <w:r>
              <w:rPr>
                <w:rFonts w:hint="eastAsia" w:ascii="宋体" w:hAnsi="宋体"/>
                <w:szCs w:val="21"/>
              </w:rPr>
              <w:t>证书</w:t>
            </w:r>
            <w:r>
              <w:rPr>
                <w:rFonts w:ascii="宋体" w:hAnsi="宋体"/>
                <w:szCs w:val="21"/>
              </w:rPr>
              <w:t>复印件</w:t>
            </w:r>
            <w:r>
              <w:rPr>
                <w:rFonts w:hint="eastAsia" w:ascii="宋体" w:hAnsi="宋体"/>
                <w:szCs w:val="21"/>
              </w:rPr>
              <w:t>并</w:t>
            </w:r>
            <w:r>
              <w:rPr>
                <w:rFonts w:ascii="宋体" w:hAnsi="宋体"/>
                <w:szCs w:val="21"/>
              </w:rPr>
              <w:t>加盖投标人</w:t>
            </w:r>
            <w:r>
              <w:rPr>
                <w:rFonts w:hint="eastAsia" w:ascii="宋体" w:hAnsi="宋体"/>
                <w:szCs w:val="21"/>
              </w:rPr>
              <w:t>公章</w:t>
            </w: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92" w:hRule="atLeast"/>
        </w:trPr>
        <w:tc>
          <w:tcPr>
            <w:tcW w:w="851" w:type="dxa"/>
            <w:gridSpan w:val="2"/>
            <w:vMerge w:val="continue"/>
            <w:tcBorders>
              <w:left w:val="single" w:color="auto" w:sz="6" w:space="0"/>
              <w:bottom w:val="single" w:color="auto" w:sz="6" w:space="0"/>
              <w:right w:val="single" w:color="auto" w:sz="4" w:space="0"/>
            </w:tcBorders>
            <w:vAlign w:val="center"/>
          </w:tcPr>
          <w:p>
            <w:pPr>
              <w:adjustRightInd w:val="0"/>
              <w:snapToGrid w:val="0"/>
              <w:spacing w:line="320" w:lineRule="exact"/>
              <w:jc w:val="center"/>
              <w:rPr>
                <w:rFonts w:ascii="宋体"/>
                <w:b/>
                <w:szCs w:val="21"/>
              </w:rPr>
            </w:pPr>
          </w:p>
        </w:tc>
        <w:tc>
          <w:tcPr>
            <w:tcW w:w="1134" w:type="dxa"/>
            <w:vMerge w:val="continue"/>
            <w:tcBorders>
              <w:left w:val="single" w:color="auto" w:sz="4" w:space="0"/>
              <w:bottom w:val="single" w:color="auto" w:sz="6" w:space="0"/>
              <w:right w:val="single" w:color="auto" w:sz="4" w:space="0"/>
            </w:tcBorders>
            <w:vAlign w:val="center"/>
          </w:tcPr>
          <w:p>
            <w:pPr>
              <w:tabs>
                <w:tab w:val="left" w:pos="1988"/>
              </w:tabs>
              <w:spacing w:line="360" w:lineRule="exact"/>
              <w:jc w:val="center"/>
              <w:rPr>
                <w:rFonts w:ascii="宋体" w:hAnsi="宋体"/>
                <w:b/>
                <w:szCs w:val="21"/>
              </w:rPr>
            </w:pPr>
          </w:p>
        </w:tc>
        <w:tc>
          <w:tcPr>
            <w:tcW w:w="708" w:type="dxa"/>
            <w:gridSpan w:val="2"/>
            <w:tcBorders>
              <w:top w:val="single" w:color="auto" w:sz="6" w:space="0"/>
              <w:left w:val="single" w:color="auto" w:sz="4" w:space="0"/>
              <w:right w:val="single" w:color="auto" w:sz="4" w:space="0"/>
            </w:tcBorders>
            <w:vAlign w:val="center"/>
          </w:tcPr>
          <w:p>
            <w:pPr>
              <w:tabs>
                <w:tab w:val="left" w:pos="1988"/>
              </w:tabs>
              <w:spacing w:line="440" w:lineRule="exact"/>
              <w:jc w:val="center"/>
              <w:rPr>
                <w:rFonts w:ascii="宋体" w:hAnsi="宋体"/>
                <w:szCs w:val="21"/>
              </w:rPr>
            </w:pPr>
            <w:r>
              <w:rPr>
                <w:rFonts w:hint="eastAsia" w:ascii="宋体" w:hAnsi="宋体"/>
                <w:szCs w:val="21"/>
              </w:rPr>
              <w:t>10</w:t>
            </w:r>
          </w:p>
        </w:tc>
        <w:tc>
          <w:tcPr>
            <w:tcW w:w="5562" w:type="dxa"/>
            <w:gridSpan w:val="4"/>
            <w:tcBorders>
              <w:top w:val="single" w:color="auto" w:sz="6" w:space="0"/>
              <w:left w:val="single" w:color="auto" w:sz="4" w:space="0"/>
              <w:bottom w:val="single" w:color="auto" w:sz="6" w:space="0"/>
              <w:right w:val="double" w:color="auto" w:sz="4" w:space="0"/>
            </w:tcBorders>
            <w:vAlign w:val="center"/>
          </w:tcPr>
          <w:p>
            <w:pPr>
              <w:widowControl/>
              <w:tabs>
                <w:tab w:val="left" w:pos="1988"/>
              </w:tabs>
              <w:spacing w:line="360" w:lineRule="exact"/>
              <w:rPr>
                <w:rFonts w:ascii="宋体" w:hAnsi="宋体"/>
                <w:szCs w:val="21"/>
              </w:rPr>
            </w:pPr>
            <w:r>
              <w:rPr>
                <w:rFonts w:hint="eastAsia" w:ascii="宋体" w:hAnsi="宋体"/>
                <w:szCs w:val="21"/>
              </w:rPr>
              <w:t>投标具有“信息安全管理体系认证证书”</w:t>
            </w:r>
            <w:r>
              <w:rPr>
                <w:rFonts w:ascii="宋体" w:hAnsi="宋体"/>
                <w:szCs w:val="21"/>
              </w:rPr>
              <w:t>的计1</w:t>
            </w:r>
            <w:r>
              <w:rPr>
                <w:rFonts w:hint="eastAsia" w:ascii="宋体" w:hAnsi="宋体"/>
                <w:szCs w:val="21"/>
              </w:rPr>
              <w:t>0</w:t>
            </w:r>
            <w:r>
              <w:rPr>
                <w:rFonts w:ascii="宋体" w:hAnsi="宋体"/>
                <w:szCs w:val="21"/>
              </w:rPr>
              <w:t>分（提供相关证明复印件）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8255" w:type="dxa"/>
            <w:gridSpan w:val="9"/>
            <w:tcBorders>
              <w:top w:val="single" w:color="auto" w:sz="6" w:space="0"/>
              <w:left w:val="single" w:color="auto" w:sz="6" w:space="0"/>
              <w:bottom w:val="single" w:color="auto" w:sz="6" w:space="0"/>
              <w:right w:val="double" w:color="auto" w:sz="4" w:space="0"/>
            </w:tcBorders>
            <w:vAlign w:val="center"/>
          </w:tcPr>
          <w:p>
            <w:pPr>
              <w:jc w:val="left"/>
              <w:rPr>
                <w:rFonts w:ascii="宋体" w:hAnsi="宋体"/>
                <w:szCs w:val="21"/>
              </w:rPr>
            </w:pPr>
            <w:r>
              <w:rPr>
                <w:rFonts w:hint="eastAsia" w:ascii="宋体" w:hAnsi="宋体"/>
                <w:szCs w:val="21"/>
              </w:rPr>
              <w:t>评委评分=F1×A1+F2×A2+……+Fn×An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8255" w:type="dxa"/>
            <w:gridSpan w:val="9"/>
            <w:tcBorders>
              <w:top w:val="single" w:color="auto" w:sz="6" w:space="0"/>
              <w:left w:val="single" w:color="auto" w:sz="6" w:space="0"/>
              <w:bottom w:val="single" w:color="auto" w:sz="6" w:space="0"/>
              <w:right w:val="double" w:color="auto" w:sz="4" w:space="0"/>
            </w:tcBorders>
            <w:vAlign w:val="center"/>
          </w:tcPr>
          <w:p>
            <w:pPr>
              <w:jc w:val="left"/>
              <w:rPr>
                <w:rFonts w:ascii="宋体" w:hAnsi="宋体"/>
                <w:szCs w:val="21"/>
              </w:rPr>
            </w:pPr>
            <w:r>
              <w:rPr>
                <w:rFonts w:hint="eastAsia" w:ascii="宋体" w:hAnsi="宋体"/>
                <w:szCs w:val="21"/>
              </w:rPr>
              <w:t>F1、F2……Fn分别为各项评分因素的汇总得分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8255" w:type="dxa"/>
            <w:gridSpan w:val="9"/>
            <w:tcBorders>
              <w:top w:val="single" w:color="auto" w:sz="6" w:space="0"/>
              <w:left w:val="single" w:color="auto" w:sz="6" w:space="0"/>
              <w:bottom w:val="single" w:color="auto" w:sz="6" w:space="0"/>
              <w:right w:val="double" w:color="auto" w:sz="4" w:space="0"/>
            </w:tcBorders>
            <w:vAlign w:val="center"/>
          </w:tcPr>
          <w:p>
            <w:pPr>
              <w:jc w:val="left"/>
              <w:rPr>
                <w:rFonts w:ascii="宋体" w:hAnsi="宋体"/>
                <w:szCs w:val="21"/>
              </w:rPr>
            </w:pPr>
            <w:r>
              <w:rPr>
                <w:rFonts w:hint="eastAsia" w:ascii="宋体" w:hAnsi="宋体"/>
                <w:szCs w:val="21"/>
              </w:rPr>
              <w:t>A1、A2……An分别为各项评分因素所占的权值（A1+A2+……An=1）</w:t>
            </w:r>
          </w:p>
        </w:tc>
      </w:tr>
    </w:tbl>
    <w:p>
      <w:pPr>
        <w:rPr>
          <w:rFonts w:ascii="仿宋" w:hAnsi="仿宋" w:eastAsia="仿宋"/>
          <w:sz w:val="32"/>
          <w:szCs w:val="32"/>
        </w:rPr>
      </w:pPr>
    </w:p>
    <w:p/>
    <w:p>
      <w:r>
        <w:br w:type="page"/>
      </w:r>
    </w:p>
    <w:p>
      <w:pPr>
        <w:jc w:val="center"/>
        <w:rPr>
          <w:sz w:val="44"/>
          <w:szCs w:val="44"/>
        </w:rPr>
      </w:pPr>
      <w:r>
        <w:rPr>
          <w:rFonts w:hint="eastAsia"/>
          <w:sz w:val="44"/>
          <w:szCs w:val="44"/>
        </w:rPr>
        <w:t>常德技师学院等级保护测评项目</w:t>
      </w:r>
    </w:p>
    <w:p>
      <w:pPr>
        <w:rPr>
          <w:rFonts w:ascii="宋体" w:hAnsi="宋体"/>
          <w:sz w:val="24"/>
        </w:rPr>
      </w:pPr>
    </w:p>
    <w:p>
      <w:pPr>
        <w:adjustRightInd w:val="0"/>
        <w:snapToGrid w:val="0"/>
        <w:spacing w:before="156" w:beforeLines="50" w:line="360" w:lineRule="exact"/>
        <w:ind w:firstLine="480" w:firstLineChars="150"/>
        <w:rPr>
          <w:b/>
          <w:sz w:val="32"/>
        </w:rPr>
      </w:pPr>
      <w:r>
        <w:rPr>
          <w:rFonts w:hint="eastAsia"/>
          <w:b/>
          <w:sz w:val="32"/>
        </w:rPr>
        <w:t>技术要求</w:t>
      </w:r>
    </w:p>
    <w:p>
      <w:pPr>
        <w:pStyle w:val="2"/>
      </w:pPr>
      <w:r>
        <w:rPr>
          <w:rFonts w:hint="eastAsia"/>
        </w:rPr>
        <w:t>一．项目背景</w:t>
      </w:r>
    </w:p>
    <w:p>
      <w:pPr>
        <w:spacing w:line="480" w:lineRule="exact"/>
        <w:ind w:firstLine="480" w:firstLineChars="200"/>
        <w:rPr>
          <w:sz w:val="24"/>
        </w:rPr>
      </w:pPr>
      <w:r>
        <w:rPr>
          <w:rFonts w:hint="eastAsia"/>
          <w:sz w:val="24"/>
        </w:rPr>
        <w:t>根据国家《中华人民共和国网络安全法》、《信息安全等级保护管理办法》（以下简称管理办法）和公安部等部委的要求，对我单位教务系统、一卡通系统、官网定级为二级进行等级保护测评和渗透测试工作，以全面了解信息安全现状，同时为之后的信息安全整改建设工作提供依据。</w:t>
      </w:r>
    </w:p>
    <w:p>
      <w:pPr>
        <w:pStyle w:val="2"/>
      </w:pPr>
      <w:bookmarkStart w:id="0" w:name="_Toc370737440"/>
      <w:r>
        <w:rPr>
          <w:rFonts w:hint="eastAsia"/>
        </w:rPr>
        <w:t>二．采购内容及技术要求</w:t>
      </w:r>
      <w:bookmarkEnd w:id="0"/>
    </w:p>
    <w:p>
      <w:pPr>
        <w:pStyle w:val="3"/>
      </w:pPr>
      <w:r>
        <w:rPr>
          <w:rFonts w:hint="eastAsia"/>
        </w:rPr>
        <w:t>1</w:t>
      </w:r>
      <w:r>
        <w:t>.</w:t>
      </w:r>
      <w:r>
        <w:rPr>
          <w:rFonts w:hint="eastAsia"/>
        </w:rPr>
        <w:t xml:space="preserve"> 总则</w:t>
      </w:r>
    </w:p>
    <w:p>
      <w:pPr>
        <w:spacing w:line="480" w:lineRule="exact"/>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 xml:space="preserve"> 本技术需求书条款所提出的各项要求，是本次信息系统安全等级保护测评依据投标人应根据本文件中的相关说明和要求，提供方案。</w:t>
      </w:r>
    </w:p>
    <w:p>
      <w:pPr>
        <w:spacing w:line="480" w:lineRule="exact"/>
        <w:rPr>
          <w:rFonts w:ascii="仿宋" w:hAnsi="仿宋" w:eastAsia="仿宋"/>
          <w:sz w:val="24"/>
        </w:rPr>
      </w:pPr>
      <w:r>
        <w:rPr>
          <w:rFonts w:hint="eastAsia" w:ascii="仿宋" w:hAnsi="仿宋" w:eastAsia="仿宋"/>
          <w:sz w:val="24"/>
        </w:rPr>
        <w:t>1.</w:t>
      </w:r>
      <w:r>
        <w:rPr>
          <w:rFonts w:ascii="仿宋" w:hAnsi="仿宋" w:eastAsia="仿宋"/>
          <w:sz w:val="24"/>
        </w:rPr>
        <w:t xml:space="preserve">2 </w:t>
      </w:r>
      <w:r>
        <w:rPr>
          <w:rFonts w:hint="eastAsia" w:ascii="仿宋" w:hAnsi="仿宋" w:eastAsia="仿宋"/>
          <w:sz w:val="24"/>
        </w:rPr>
        <w:t>投标人在测评方案书中，对能提供的信息系统安全等级保护测评进行说明，可根据具体情况在项目方案中提出建议，并附详细资料和说明。</w:t>
      </w:r>
    </w:p>
    <w:p>
      <w:pPr>
        <w:spacing w:line="480" w:lineRule="exact"/>
        <w:rPr>
          <w:rFonts w:ascii="仿宋" w:hAnsi="仿宋" w:eastAsia="仿宋"/>
          <w:sz w:val="24"/>
        </w:rPr>
      </w:pPr>
      <w:r>
        <w:rPr>
          <w:rFonts w:hint="eastAsia" w:ascii="仿宋" w:hAnsi="仿宋" w:eastAsia="仿宋"/>
          <w:sz w:val="24"/>
        </w:rPr>
        <w:t>1.</w:t>
      </w:r>
      <w:r>
        <w:rPr>
          <w:rFonts w:ascii="仿宋" w:hAnsi="仿宋" w:eastAsia="仿宋"/>
          <w:sz w:val="24"/>
        </w:rPr>
        <w:t xml:space="preserve">3 </w:t>
      </w:r>
      <w:r>
        <w:rPr>
          <w:rFonts w:hint="eastAsia" w:ascii="仿宋" w:hAnsi="仿宋" w:eastAsia="仿宋"/>
          <w:sz w:val="24"/>
        </w:rPr>
        <w:t>投标人应对提供信息系统安全等级保护测评时所使用的设备及软件保证拥有设备软硬件的知识产权和所有权，并对所涉及的专利、知识产权等法律条款承担义务，采购人对以上问题不承担任何法律责任。</w:t>
      </w:r>
    </w:p>
    <w:p>
      <w:pPr>
        <w:spacing w:line="480" w:lineRule="exact"/>
        <w:rPr>
          <w:rFonts w:ascii="仿宋" w:hAnsi="仿宋" w:eastAsia="仿宋"/>
          <w:sz w:val="24"/>
        </w:rPr>
      </w:pPr>
      <w:r>
        <w:rPr>
          <w:rFonts w:hint="eastAsia" w:ascii="仿宋" w:hAnsi="仿宋" w:eastAsia="仿宋"/>
          <w:sz w:val="24"/>
        </w:rPr>
        <w:t>1</w:t>
      </w:r>
      <w:r>
        <w:rPr>
          <w:rFonts w:ascii="仿宋" w:hAnsi="仿宋" w:eastAsia="仿宋"/>
          <w:sz w:val="24"/>
        </w:rPr>
        <w:t xml:space="preserve">.4 </w:t>
      </w:r>
      <w:r>
        <w:rPr>
          <w:rFonts w:hint="eastAsia" w:ascii="仿宋" w:hAnsi="仿宋" w:eastAsia="仿宋"/>
          <w:sz w:val="24"/>
        </w:rPr>
        <w:t>若投标人的设备和系统包含自己的专用标准，应在建议书中具体说明，并附上相应的详细技术资料。</w:t>
      </w:r>
    </w:p>
    <w:p>
      <w:pPr>
        <w:pStyle w:val="3"/>
      </w:pPr>
      <w:r>
        <w:rPr>
          <w:rFonts w:hint="eastAsia"/>
        </w:rPr>
        <w:t>2.主要应用系统</w:t>
      </w:r>
    </w:p>
    <w:p>
      <w:pPr>
        <w:spacing w:line="480" w:lineRule="exact"/>
        <w:rPr>
          <w:rFonts w:ascii="仿宋" w:hAnsi="仿宋" w:eastAsia="仿宋"/>
          <w:sz w:val="24"/>
        </w:rPr>
      </w:pPr>
      <w:r>
        <w:rPr>
          <w:rFonts w:hint="eastAsia" w:ascii="仿宋" w:hAnsi="仿宋" w:eastAsia="仿宋"/>
          <w:sz w:val="24"/>
        </w:rPr>
        <w:t xml:space="preserve">   常德技师学院教务系统、一卡通系统、学院门户网站定级为二级。</w:t>
      </w:r>
    </w:p>
    <w:p>
      <w:pPr>
        <w:pStyle w:val="3"/>
      </w:pPr>
      <w:r>
        <w:rPr>
          <w:rFonts w:hint="eastAsia"/>
        </w:rPr>
        <w:t>3．依据政策及标准</w:t>
      </w:r>
    </w:p>
    <w:p>
      <w:pPr>
        <w:spacing w:line="480" w:lineRule="exact"/>
        <w:ind w:firstLine="424" w:firstLineChars="177"/>
        <w:rPr>
          <w:rFonts w:ascii="仿宋" w:hAnsi="仿宋" w:eastAsia="仿宋"/>
          <w:sz w:val="24"/>
        </w:rPr>
      </w:pPr>
      <w:r>
        <w:rPr>
          <w:rFonts w:hint="eastAsia" w:ascii="仿宋" w:hAnsi="仿宋" w:eastAsia="仿宋"/>
          <w:sz w:val="24"/>
        </w:rPr>
        <w:t>投标人应依据国家相关政策标准开展工作，依据标准包括但不限于如下国家政策标准：</w:t>
      </w:r>
    </w:p>
    <w:p>
      <w:pPr>
        <w:spacing w:line="480" w:lineRule="exact"/>
        <w:rPr>
          <w:rFonts w:ascii="仿宋" w:hAnsi="仿宋" w:eastAsia="仿宋"/>
          <w:sz w:val="24"/>
        </w:rPr>
      </w:pPr>
      <w:r>
        <w:rPr>
          <w:rFonts w:hint="eastAsia" w:ascii="仿宋" w:hAnsi="仿宋" w:eastAsia="仿宋"/>
          <w:sz w:val="24"/>
        </w:rPr>
        <w:t>《中华人民共和国网络安全法》</w:t>
      </w:r>
    </w:p>
    <w:p>
      <w:pPr>
        <w:spacing w:line="480" w:lineRule="exact"/>
        <w:rPr>
          <w:rFonts w:ascii="仿宋" w:hAnsi="仿宋" w:eastAsia="仿宋"/>
          <w:sz w:val="24"/>
        </w:rPr>
      </w:pPr>
      <w:r>
        <w:rPr>
          <w:rFonts w:hint="eastAsia" w:ascii="仿宋" w:hAnsi="仿宋" w:eastAsia="仿宋"/>
          <w:sz w:val="24"/>
        </w:rPr>
        <w:t>《国家信息化领导小组关于加强信息安全保障工作的意见》（中办发</w:t>
      </w:r>
      <w:r>
        <w:rPr>
          <w:rFonts w:ascii="仿宋" w:hAnsi="仿宋" w:eastAsia="仿宋"/>
          <w:sz w:val="24"/>
        </w:rPr>
        <w:t>[</w:t>
      </w:r>
      <w:r>
        <w:rPr>
          <w:rFonts w:hint="eastAsia" w:ascii="仿宋" w:hAnsi="仿宋" w:eastAsia="仿宋"/>
          <w:sz w:val="24"/>
        </w:rPr>
        <w:t>【2003】</w:t>
      </w:r>
      <w:r>
        <w:rPr>
          <w:rFonts w:ascii="仿宋" w:hAnsi="仿宋" w:eastAsia="仿宋"/>
          <w:sz w:val="24"/>
        </w:rPr>
        <w:t>27</w:t>
      </w:r>
      <w:r>
        <w:rPr>
          <w:rFonts w:hint="eastAsia" w:ascii="仿宋" w:hAnsi="仿宋" w:eastAsia="仿宋"/>
          <w:sz w:val="24"/>
        </w:rPr>
        <w:t>号）</w:t>
      </w:r>
    </w:p>
    <w:p>
      <w:pPr>
        <w:spacing w:line="480" w:lineRule="exact"/>
        <w:rPr>
          <w:rFonts w:ascii="仿宋" w:hAnsi="仿宋" w:eastAsia="仿宋"/>
          <w:sz w:val="24"/>
        </w:rPr>
      </w:pPr>
      <w:r>
        <w:rPr>
          <w:rFonts w:hint="eastAsia" w:ascii="仿宋" w:hAnsi="仿宋" w:eastAsia="仿宋"/>
          <w:sz w:val="24"/>
        </w:rPr>
        <w:t>《关于信息安全等级保护工作的实施意见》（公通字【2004】</w:t>
      </w:r>
      <w:r>
        <w:rPr>
          <w:rFonts w:ascii="仿宋" w:hAnsi="仿宋" w:eastAsia="仿宋"/>
          <w:sz w:val="24"/>
        </w:rPr>
        <w:t>66</w:t>
      </w:r>
      <w:r>
        <w:rPr>
          <w:rFonts w:hint="eastAsia" w:ascii="仿宋" w:hAnsi="仿宋" w:eastAsia="仿宋"/>
          <w:sz w:val="24"/>
        </w:rPr>
        <w:t>号）</w:t>
      </w:r>
    </w:p>
    <w:p>
      <w:pPr>
        <w:spacing w:line="480" w:lineRule="exact"/>
        <w:rPr>
          <w:rFonts w:ascii="仿宋" w:hAnsi="仿宋" w:eastAsia="仿宋"/>
          <w:sz w:val="24"/>
        </w:rPr>
      </w:pPr>
      <w:r>
        <w:rPr>
          <w:rFonts w:hint="eastAsia" w:ascii="仿宋" w:hAnsi="仿宋" w:eastAsia="仿宋"/>
          <w:sz w:val="24"/>
        </w:rPr>
        <w:t>《关于进一步推进全省信息安全等级保护工作的函》湘公函【2011】21号</w:t>
      </w:r>
    </w:p>
    <w:p>
      <w:pPr>
        <w:spacing w:line="480" w:lineRule="exact"/>
        <w:rPr>
          <w:rFonts w:ascii="仿宋" w:hAnsi="仿宋" w:eastAsia="仿宋"/>
          <w:sz w:val="24"/>
        </w:rPr>
      </w:pPr>
      <w:r>
        <w:rPr>
          <w:rFonts w:hint="eastAsia" w:ascii="仿宋" w:hAnsi="仿宋" w:eastAsia="仿宋"/>
          <w:sz w:val="24"/>
        </w:rPr>
        <w:t>《关于对全省重要信息系统开展信息安全等级保护专项检查工作的函》湘公函【2011】74号</w:t>
      </w:r>
    </w:p>
    <w:p>
      <w:pPr>
        <w:spacing w:line="480" w:lineRule="exact"/>
        <w:ind w:firstLine="120" w:firstLineChars="50"/>
        <w:rPr>
          <w:rFonts w:ascii="仿宋" w:hAnsi="仿宋" w:eastAsia="仿宋"/>
          <w:sz w:val="24"/>
        </w:rPr>
      </w:pPr>
      <w:r>
        <w:rPr>
          <w:rFonts w:ascii="仿宋" w:hAnsi="仿宋" w:eastAsia="仿宋"/>
          <w:sz w:val="24"/>
        </w:rPr>
        <w:t xml:space="preserve">GB/T 22239-2008 </w:t>
      </w:r>
      <w:r>
        <w:rPr>
          <w:rFonts w:hint="eastAsia" w:ascii="仿宋" w:hAnsi="仿宋" w:eastAsia="仿宋"/>
          <w:sz w:val="24"/>
        </w:rPr>
        <w:t>信息安全技术</w:t>
      </w:r>
      <w:r>
        <w:rPr>
          <w:rFonts w:ascii="仿宋" w:hAnsi="仿宋" w:eastAsia="仿宋"/>
          <w:sz w:val="24"/>
        </w:rPr>
        <w:t xml:space="preserve"> </w:t>
      </w:r>
      <w:r>
        <w:rPr>
          <w:rFonts w:hint="eastAsia" w:ascii="仿宋" w:hAnsi="仿宋" w:eastAsia="仿宋"/>
          <w:sz w:val="24"/>
        </w:rPr>
        <w:t>信息系统安全等级保护基本要求</w:t>
      </w:r>
      <w:r>
        <w:rPr>
          <w:rFonts w:ascii="仿宋" w:hAnsi="仿宋" w:eastAsia="仿宋"/>
          <w:sz w:val="24"/>
        </w:rPr>
        <w:t xml:space="preserve"> </w:t>
      </w:r>
    </w:p>
    <w:p>
      <w:pPr>
        <w:spacing w:line="480" w:lineRule="exact"/>
        <w:ind w:firstLine="120" w:firstLineChars="50"/>
        <w:rPr>
          <w:rFonts w:ascii="仿宋" w:hAnsi="仿宋" w:eastAsia="仿宋"/>
          <w:sz w:val="24"/>
        </w:rPr>
      </w:pPr>
      <w:r>
        <w:rPr>
          <w:rFonts w:ascii="仿宋" w:hAnsi="仿宋" w:eastAsia="仿宋"/>
          <w:sz w:val="24"/>
        </w:rPr>
        <w:t xml:space="preserve">GB/T 22240-2008 </w:t>
      </w:r>
      <w:r>
        <w:rPr>
          <w:rFonts w:hint="eastAsia" w:ascii="仿宋" w:hAnsi="仿宋" w:eastAsia="仿宋"/>
          <w:sz w:val="24"/>
        </w:rPr>
        <w:t>信息安全技术</w:t>
      </w:r>
      <w:r>
        <w:rPr>
          <w:rFonts w:ascii="仿宋" w:hAnsi="仿宋" w:eastAsia="仿宋"/>
          <w:sz w:val="24"/>
        </w:rPr>
        <w:t xml:space="preserve"> </w:t>
      </w:r>
      <w:r>
        <w:rPr>
          <w:rFonts w:hint="eastAsia" w:ascii="仿宋" w:hAnsi="仿宋" w:eastAsia="仿宋"/>
          <w:sz w:val="24"/>
        </w:rPr>
        <w:t>信息系统安全等级保护定级指南</w:t>
      </w:r>
    </w:p>
    <w:p>
      <w:pPr>
        <w:spacing w:line="480" w:lineRule="exact"/>
        <w:ind w:firstLine="120" w:firstLineChars="50"/>
        <w:rPr>
          <w:rFonts w:ascii="仿宋" w:hAnsi="仿宋" w:eastAsia="仿宋"/>
          <w:sz w:val="24"/>
        </w:rPr>
      </w:pPr>
      <w:r>
        <w:rPr>
          <w:rFonts w:ascii="仿宋" w:hAnsi="仿宋" w:eastAsia="仿宋"/>
          <w:sz w:val="24"/>
        </w:rPr>
        <w:t>GB</w:t>
      </w:r>
      <w:r>
        <w:rPr>
          <w:rFonts w:hint="eastAsia" w:ascii="仿宋" w:hAnsi="仿宋" w:eastAsia="仿宋"/>
          <w:sz w:val="24"/>
        </w:rPr>
        <w:t>/T</w:t>
      </w:r>
      <w:r>
        <w:rPr>
          <w:rFonts w:ascii="仿宋" w:hAnsi="仿宋" w:eastAsia="仿宋"/>
          <w:sz w:val="24"/>
        </w:rPr>
        <w:t xml:space="preserve"> 17859-1999</w:t>
      </w:r>
      <w:r>
        <w:rPr>
          <w:rFonts w:hint="eastAsia" w:ascii="仿宋" w:hAnsi="仿宋" w:eastAsia="仿宋"/>
          <w:sz w:val="24"/>
        </w:rPr>
        <w:t xml:space="preserve"> 信息安全技术 </w:t>
      </w:r>
      <w:r>
        <w:rPr>
          <w:rFonts w:ascii="仿宋" w:hAnsi="仿宋" w:eastAsia="仿宋"/>
          <w:sz w:val="24"/>
        </w:rPr>
        <w:t>计算机信息系统安全保护等级划分准则</w:t>
      </w:r>
    </w:p>
    <w:p>
      <w:pPr>
        <w:spacing w:line="480" w:lineRule="exact"/>
        <w:ind w:firstLine="120" w:firstLineChars="50"/>
        <w:rPr>
          <w:rFonts w:ascii="仿宋" w:hAnsi="仿宋" w:eastAsia="仿宋"/>
          <w:sz w:val="24"/>
        </w:rPr>
      </w:pPr>
      <w:r>
        <w:rPr>
          <w:rFonts w:ascii="仿宋" w:hAnsi="仿宋" w:eastAsia="仿宋"/>
          <w:sz w:val="24"/>
        </w:rPr>
        <w:t>GB/T 20984—2007</w:t>
      </w:r>
      <w:r>
        <w:rPr>
          <w:rFonts w:hint="eastAsia" w:ascii="仿宋" w:hAnsi="仿宋" w:eastAsia="仿宋"/>
          <w:sz w:val="24"/>
        </w:rPr>
        <w:t>信息安全技术 信息安全风险评估规范</w:t>
      </w:r>
    </w:p>
    <w:p>
      <w:pPr>
        <w:pStyle w:val="3"/>
      </w:pPr>
      <w:r>
        <w:rPr>
          <w:rFonts w:hint="eastAsia"/>
        </w:rPr>
        <w:t>4</w:t>
      </w:r>
      <w:r>
        <w:t>.</w:t>
      </w:r>
      <w:r>
        <w:rPr>
          <w:rFonts w:hint="eastAsia"/>
        </w:rPr>
        <w:t xml:space="preserve"> 项目工作内容</w:t>
      </w:r>
    </w:p>
    <w:p>
      <w:pPr>
        <w:spacing w:line="480" w:lineRule="exact"/>
        <w:ind w:firstLine="360" w:firstLineChars="150"/>
        <w:rPr>
          <w:rFonts w:ascii="仿宋" w:hAnsi="仿宋" w:eastAsia="仿宋"/>
          <w:sz w:val="24"/>
        </w:rPr>
      </w:pPr>
      <w:r>
        <w:rPr>
          <w:rFonts w:hint="eastAsia" w:ascii="仿宋" w:hAnsi="仿宋" w:eastAsia="仿宋"/>
          <w:sz w:val="24"/>
        </w:rPr>
        <w:t>根据相关文件及标准要求，对常德技师学院信息系统安全等级保护测评和安全培训。</w:t>
      </w:r>
    </w:p>
    <w:p>
      <w:pPr>
        <w:spacing w:line="480" w:lineRule="exact"/>
        <w:rPr>
          <w:rFonts w:ascii="仿宋" w:hAnsi="仿宋" w:eastAsia="仿宋"/>
          <w:sz w:val="24"/>
        </w:rPr>
      </w:pPr>
      <w:r>
        <w:rPr>
          <w:rFonts w:hint="eastAsia" w:ascii="仿宋" w:hAnsi="仿宋" w:eastAsia="仿宋"/>
          <w:sz w:val="24"/>
        </w:rPr>
        <w:t>信息系统安全等级保护测评包含以下系统：</w:t>
      </w:r>
    </w:p>
    <w:p>
      <w:pPr>
        <w:spacing w:line="480" w:lineRule="exact"/>
        <w:rPr>
          <w:rFonts w:ascii="仿宋" w:hAnsi="仿宋" w:eastAsia="仿宋"/>
          <w:sz w:val="24"/>
        </w:rPr>
      </w:pPr>
    </w:p>
    <w:tbl>
      <w:tblPr>
        <w:tblStyle w:val="8"/>
        <w:tblW w:w="7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3295"/>
        <w:gridCol w:w="1559"/>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107" w:type="dxa"/>
            <w:vAlign w:val="center"/>
          </w:tcPr>
          <w:p>
            <w:pPr>
              <w:spacing w:line="480" w:lineRule="exact"/>
              <w:ind w:left="-81"/>
              <w:jc w:val="center"/>
              <w:rPr>
                <w:rFonts w:ascii="仿宋" w:hAnsi="仿宋" w:eastAsia="仿宋"/>
                <w:sz w:val="24"/>
              </w:rPr>
            </w:pPr>
            <w:r>
              <w:rPr>
                <w:rFonts w:hint="eastAsia" w:ascii="仿宋" w:hAnsi="仿宋" w:eastAsia="仿宋"/>
                <w:sz w:val="24"/>
              </w:rPr>
              <w:t>序号</w:t>
            </w:r>
          </w:p>
        </w:tc>
        <w:tc>
          <w:tcPr>
            <w:tcW w:w="3295" w:type="dxa"/>
            <w:vAlign w:val="center"/>
          </w:tcPr>
          <w:p>
            <w:pPr>
              <w:spacing w:line="480" w:lineRule="exact"/>
              <w:ind w:left="-81"/>
              <w:jc w:val="center"/>
              <w:rPr>
                <w:rFonts w:ascii="仿宋" w:hAnsi="仿宋" w:eastAsia="仿宋"/>
                <w:sz w:val="24"/>
              </w:rPr>
            </w:pPr>
            <w:r>
              <w:rPr>
                <w:rFonts w:hint="eastAsia" w:ascii="仿宋" w:hAnsi="仿宋" w:eastAsia="仿宋"/>
                <w:sz w:val="24"/>
              </w:rPr>
              <w:t>系统名称</w:t>
            </w:r>
          </w:p>
        </w:tc>
        <w:tc>
          <w:tcPr>
            <w:tcW w:w="1559" w:type="dxa"/>
            <w:vAlign w:val="center"/>
          </w:tcPr>
          <w:p>
            <w:pPr>
              <w:spacing w:line="480" w:lineRule="exact"/>
              <w:ind w:left="-81"/>
              <w:jc w:val="center"/>
              <w:rPr>
                <w:rFonts w:ascii="仿宋" w:hAnsi="仿宋" w:eastAsia="仿宋"/>
                <w:sz w:val="24"/>
              </w:rPr>
            </w:pPr>
            <w:r>
              <w:rPr>
                <w:rFonts w:hint="eastAsia" w:ascii="仿宋" w:hAnsi="仿宋" w:eastAsia="仿宋"/>
                <w:sz w:val="24"/>
              </w:rPr>
              <w:t>级别</w:t>
            </w:r>
          </w:p>
        </w:tc>
        <w:tc>
          <w:tcPr>
            <w:tcW w:w="1782" w:type="dxa"/>
            <w:vAlign w:val="center"/>
          </w:tcPr>
          <w:p>
            <w:pPr>
              <w:spacing w:line="480" w:lineRule="exact"/>
              <w:ind w:left="-81"/>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07" w:type="dxa"/>
            <w:vAlign w:val="center"/>
          </w:tcPr>
          <w:p>
            <w:pPr>
              <w:spacing w:line="480" w:lineRule="exact"/>
              <w:ind w:left="-81"/>
              <w:jc w:val="center"/>
              <w:rPr>
                <w:rFonts w:ascii="仿宋" w:hAnsi="仿宋" w:eastAsia="仿宋"/>
                <w:sz w:val="24"/>
              </w:rPr>
            </w:pPr>
            <w:r>
              <w:rPr>
                <w:rFonts w:hint="eastAsia" w:ascii="仿宋" w:hAnsi="仿宋" w:eastAsia="仿宋"/>
                <w:sz w:val="24"/>
              </w:rPr>
              <w:t>1</w:t>
            </w:r>
          </w:p>
        </w:tc>
        <w:tc>
          <w:tcPr>
            <w:tcW w:w="3295" w:type="dxa"/>
            <w:vAlign w:val="center"/>
          </w:tcPr>
          <w:p>
            <w:pPr>
              <w:spacing w:line="480" w:lineRule="exact"/>
              <w:ind w:left="-81"/>
              <w:jc w:val="center"/>
              <w:rPr>
                <w:rFonts w:ascii="仿宋" w:hAnsi="仿宋" w:eastAsia="仿宋"/>
                <w:sz w:val="24"/>
              </w:rPr>
            </w:pPr>
            <w:r>
              <w:rPr>
                <w:rFonts w:hint="eastAsia" w:ascii="仿宋" w:hAnsi="仿宋" w:eastAsia="仿宋"/>
                <w:sz w:val="24"/>
              </w:rPr>
              <w:t>教务系统</w:t>
            </w:r>
          </w:p>
        </w:tc>
        <w:tc>
          <w:tcPr>
            <w:tcW w:w="1559" w:type="dxa"/>
            <w:vAlign w:val="center"/>
          </w:tcPr>
          <w:p>
            <w:pPr>
              <w:spacing w:line="480" w:lineRule="exact"/>
              <w:ind w:left="-81"/>
              <w:jc w:val="center"/>
              <w:rPr>
                <w:rFonts w:ascii="仿宋" w:hAnsi="仿宋" w:eastAsia="仿宋"/>
                <w:sz w:val="24"/>
              </w:rPr>
            </w:pPr>
            <w:r>
              <w:rPr>
                <w:rFonts w:hint="eastAsia" w:ascii="仿宋" w:hAnsi="仿宋" w:eastAsia="仿宋"/>
                <w:sz w:val="24"/>
              </w:rPr>
              <w:t>二级</w:t>
            </w:r>
          </w:p>
        </w:tc>
        <w:tc>
          <w:tcPr>
            <w:tcW w:w="1782" w:type="dxa"/>
            <w:vAlign w:val="center"/>
          </w:tcPr>
          <w:p>
            <w:pPr>
              <w:spacing w:line="480" w:lineRule="exact"/>
              <w:ind w:left="-8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07" w:type="dxa"/>
            <w:vAlign w:val="center"/>
          </w:tcPr>
          <w:p>
            <w:pPr>
              <w:spacing w:line="480" w:lineRule="exact"/>
              <w:ind w:left="-81"/>
              <w:jc w:val="center"/>
              <w:rPr>
                <w:rFonts w:ascii="仿宋" w:hAnsi="仿宋" w:eastAsia="仿宋"/>
                <w:sz w:val="24"/>
              </w:rPr>
            </w:pPr>
            <w:r>
              <w:rPr>
                <w:rFonts w:hint="eastAsia" w:ascii="仿宋" w:hAnsi="仿宋" w:eastAsia="仿宋"/>
                <w:sz w:val="24"/>
              </w:rPr>
              <w:t>2</w:t>
            </w:r>
          </w:p>
        </w:tc>
        <w:tc>
          <w:tcPr>
            <w:tcW w:w="3295" w:type="dxa"/>
            <w:vAlign w:val="center"/>
          </w:tcPr>
          <w:p>
            <w:pPr>
              <w:spacing w:line="480" w:lineRule="exact"/>
              <w:ind w:left="-81"/>
              <w:jc w:val="center"/>
              <w:rPr>
                <w:rFonts w:ascii="仿宋" w:hAnsi="仿宋" w:eastAsia="仿宋"/>
                <w:sz w:val="24"/>
              </w:rPr>
            </w:pPr>
            <w:r>
              <w:rPr>
                <w:rFonts w:hint="eastAsia" w:ascii="仿宋" w:hAnsi="仿宋" w:eastAsia="仿宋"/>
                <w:sz w:val="24"/>
              </w:rPr>
              <w:t>一卡通</w:t>
            </w:r>
          </w:p>
        </w:tc>
        <w:tc>
          <w:tcPr>
            <w:tcW w:w="1559" w:type="dxa"/>
            <w:vAlign w:val="center"/>
          </w:tcPr>
          <w:p>
            <w:pPr>
              <w:spacing w:line="480" w:lineRule="exact"/>
              <w:ind w:left="-81"/>
              <w:jc w:val="center"/>
              <w:rPr>
                <w:rFonts w:ascii="仿宋" w:hAnsi="仿宋" w:eastAsia="仿宋"/>
                <w:sz w:val="24"/>
              </w:rPr>
            </w:pPr>
            <w:r>
              <w:rPr>
                <w:rFonts w:hint="eastAsia" w:ascii="仿宋" w:hAnsi="仿宋" w:eastAsia="仿宋"/>
                <w:sz w:val="24"/>
              </w:rPr>
              <w:t>二级</w:t>
            </w:r>
          </w:p>
        </w:tc>
        <w:tc>
          <w:tcPr>
            <w:tcW w:w="1782" w:type="dxa"/>
            <w:vAlign w:val="center"/>
          </w:tcPr>
          <w:p>
            <w:pPr>
              <w:spacing w:line="480" w:lineRule="exact"/>
              <w:ind w:left="-8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07" w:type="dxa"/>
            <w:vAlign w:val="center"/>
          </w:tcPr>
          <w:p>
            <w:pPr>
              <w:spacing w:line="480" w:lineRule="exact"/>
              <w:ind w:left="-81"/>
              <w:jc w:val="center"/>
              <w:rPr>
                <w:rFonts w:ascii="仿宋" w:hAnsi="仿宋" w:eastAsia="仿宋"/>
                <w:sz w:val="24"/>
              </w:rPr>
            </w:pPr>
            <w:r>
              <w:rPr>
                <w:rFonts w:hint="eastAsia" w:ascii="仿宋" w:hAnsi="仿宋" w:eastAsia="仿宋"/>
                <w:sz w:val="24"/>
              </w:rPr>
              <w:t>3</w:t>
            </w:r>
          </w:p>
        </w:tc>
        <w:tc>
          <w:tcPr>
            <w:tcW w:w="3295" w:type="dxa"/>
            <w:vAlign w:val="center"/>
          </w:tcPr>
          <w:p>
            <w:pPr>
              <w:spacing w:line="480" w:lineRule="exact"/>
              <w:ind w:left="-81"/>
              <w:jc w:val="center"/>
              <w:rPr>
                <w:rFonts w:hint="eastAsia" w:ascii="仿宋" w:hAnsi="仿宋" w:eastAsia="仿宋"/>
                <w:sz w:val="24"/>
              </w:rPr>
            </w:pPr>
            <w:r>
              <w:rPr>
                <w:rFonts w:hint="eastAsia" w:ascii="仿宋" w:hAnsi="仿宋" w:eastAsia="仿宋"/>
                <w:sz w:val="24"/>
              </w:rPr>
              <w:t>学院门户网站</w:t>
            </w:r>
          </w:p>
        </w:tc>
        <w:tc>
          <w:tcPr>
            <w:tcW w:w="1559" w:type="dxa"/>
            <w:vAlign w:val="center"/>
          </w:tcPr>
          <w:p>
            <w:pPr>
              <w:spacing w:line="480" w:lineRule="exact"/>
              <w:ind w:left="-81"/>
              <w:jc w:val="center"/>
              <w:rPr>
                <w:rFonts w:ascii="仿宋" w:hAnsi="仿宋" w:eastAsia="仿宋"/>
                <w:sz w:val="24"/>
              </w:rPr>
            </w:pPr>
            <w:r>
              <w:rPr>
                <w:rFonts w:hint="eastAsia" w:ascii="仿宋" w:hAnsi="仿宋" w:eastAsia="仿宋"/>
                <w:sz w:val="24"/>
              </w:rPr>
              <w:t>二级</w:t>
            </w:r>
          </w:p>
        </w:tc>
        <w:tc>
          <w:tcPr>
            <w:tcW w:w="1782" w:type="dxa"/>
            <w:vAlign w:val="center"/>
          </w:tcPr>
          <w:p>
            <w:pPr>
              <w:spacing w:line="480" w:lineRule="exact"/>
              <w:ind w:left="-81"/>
              <w:jc w:val="center"/>
              <w:rPr>
                <w:rFonts w:ascii="仿宋" w:hAnsi="仿宋" w:eastAsia="仿宋"/>
                <w:sz w:val="24"/>
              </w:rPr>
            </w:pPr>
          </w:p>
        </w:tc>
      </w:tr>
    </w:tbl>
    <w:p>
      <w:pPr>
        <w:spacing w:line="480" w:lineRule="exact"/>
        <w:rPr>
          <w:rFonts w:ascii="仿宋" w:hAnsi="仿宋" w:eastAsia="仿宋"/>
          <w:sz w:val="24"/>
        </w:rPr>
      </w:pPr>
    </w:p>
    <w:p>
      <w:pPr>
        <w:pStyle w:val="3"/>
        <w:numPr>
          <w:ilvl w:val="0"/>
          <w:numId w:val="1"/>
        </w:numPr>
      </w:pPr>
      <w:r>
        <w:rPr>
          <w:rFonts w:hint="eastAsia"/>
        </w:rPr>
        <w:t xml:space="preserve">工作内容： </w:t>
      </w:r>
    </w:p>
    <w:p>
      <w:pPr>
        <w:pStyle w:val="4"/>
      </w:pPr>
      <w:r>
        <w:rPr>
          <w:rFonts w:hint="eastAsia"/>
        </w:rPr>
        <w:t>5</w:t>
      </w:r>
      <w:r>
        <w:t>.1</w:t>
      </w:r>
      <w:r>
        <w:rPr>
          <w:rFonts w:hint="eastAsia"/>
        </w:rPr>
        <w:t>信息系统安全等级保护测评</w:t>
      </w:r>
    </w:p>
    <w:p>
      <w:pPr>
        <w:spacing w:line="480" w:lineRule="exact"/>
        <w:ind w:firstLine="424" w:firstLineChars="177"/>
        <w:rPr>
          <w:rFonts w:ascii="仿宋" w:hAnsi="仿宋" w:eastAsia="仿宋"/>
          <w:sz w:val="24"/>
        </w:rPr>
      </w:pPr>
      <w:r>
        <w:rPr>
          <w:rFonts w:hint="eastAsia" w:ascii="仿宋" w:hAnsi="仿宋" w:eastAsia="仿宋"/>
          <w:sz w:val="24"/>
        </w:rPr>
        <w:t>依据《信息安全技术</w:t>
      </w:r>
      <w:r>
        <w:rPr>
          <w:rFonts w:ascii="仿宋" w:hAnsi="仿宋" w:eastAsia="仿宋"/>
          <w:sz w:val="24"/>
        </w:rPr>
        <w:t xml:space="preserve"> </w:t>
      </w:r>
      <w:r>
        <w:rPr>
          <w:rFonts w:hint="eastAsia" w:ascii="仿宋" w:hAnsi="仿宋" w:eastAsia="仿宋"/>
          <w:sz w:val="24"/>
        </w:rPr>
        <w:t>信息系统安全等级保护基本要求》（</w:t>
      </w:r>
      <w:r>
        <w:rPr>
          <w:rFonts w:ascii="仿宋" w:hAnsi="仿宋" w:eastAsia="仿宋"/>
          <w:sz w:val="24"/>
        </w:rPr>
        <w:t>GB/T 22239-2008</w:t>
      </w:r>
      <w:r>
        <w:rPr>
          <w:rFonts w:hint="eastAsia" w:ascii="仿宋" w:hAnsi="仿宋" w:eastAsia="仿宋"/>
          <w:sz w:val="24"/>
        </w:rPr>
        <w:t>）等级保护测评的要求，找出系统与国家标准要求之间的差距，对存在的风险进行评估，并出具《信息安全等级测评报告》。</w:t>
      </w:r>
    </w:p>
    <w:p>
      <w:pPr>
        <w:spacing w:line="480" w:lineRule="exact"/>
        <w:rPr>
          <w:rFonts w:ascii="仿宋" w:hAnsi="仿宋" w:eastAsia="仿宋"/>
          <w:sz w:val="24"/>
        </w:rPr>
      </w:pPr>
      <w:bookmarkStart w:id="1" w:name="_Toc287973942"/>
      <w:r>
        <w:rPr>
          <w:rFonts w:ascii="仿宋" w:hAnsi="仿宋" w:eastAsia="仿宋"/>
          <w:sz w:val="24"/>
        </w:rPr>
        <w:t>a)</w:t>
      </w:r>
      <w:bookmarkEnd w:id="1"/>
      <w:r>
        <w:rPr>
          <w:rFonts w:hint="eastAsia" w:ascii="仿宋" w:hAnsi="仿宋" w:eastAsia="仿宋"/>
          <w:sz w:val="24"/>
        </w:rPr>
        <w:t xml:space="preserve">  测评范围</w:t>
      </w:r>
    </w:p>
    <w:p>
      <w:pPr>
        <w:spacing w:line="480" w:lineRule="exact"/>
        <w:rPr>
          <w:rFonts w:ascii="仿宋" w:hAnsi="仿宋" w:eastAsia="仿宋"/>
          <w:sz w:val="24"/>
        </w:rPr>
      </w:pPr>
      <w:r>
        <w:rPr>
          <w:rFonts w:hint="eastAsia" w:ascii="仿宋" w:hAnsi="仿宋" w:eastAsia="仿宋"/>
          <w:sz w:val="24"/>
        </w:rPr>
        <w:t xml:space="preserve">   被测系统所涉及的基础网络环境、主机层面、应用层、数据库层及相关安全辅助设备与管理制度。</w:t>
      </w:r>
    </w:p>
    <w:p>
      <w:pPr>
        <w:spacing w:line="480" w:lineRule="exact"/>
        <w:rPr>
          <w:rFonts w:ascii="仿宋" w:hAnsi="仿宋" w:eastAsia="仿宋"/>
          <w:sz w:val="24"/>
        </w:rPr>
      </w:pPr>
      <w:bookmarkStart w:id="2" w:name="_Toc287973944"/>
      <w:r>
        <w:rPr>
          <w:rFonts w:ascii="仿宋" w:hAnsi="仿宋" w:eastAsia="仿宋"/>
          <w:sz w:val="24"/>
        </w:rPr>
        <w:t>b)</w:t>
      </w:r>
      <w:bookmarkEnd w:id="2"/>
      <w:r>
        <w:rPr>
          <w:rFonts w:hint="eastAsia" w:ascii="仿宋" w:hAnsi="仿宋" w:eastAsia="仿宋"/>
          <w:sz w:val="24"/>
        </w:rPr>
        <w:t xml:space="preserve">  测评内容</w:t>
      </w:r>
    </w:p>
    <w:p>
      <w:pPr>
        <w:spacing w:line="480" w:lineRule="exact"/>
        <w:ind w:firstLine="240" w:firstLineChars="100"/>
        <w:rPr>
          <w:rFonts w:ascii="仿宋" w:hAnsi="仿宋" w:eastAsia="仿宋"/>
          <w:sz w:val="24"/>
        </w:rPr>
      </w:pPr>
      <w:r>
        <w:rPr>
          <w:rFonts w:hint="eastAsia" w:ascii="仿宋" w:hAnsi="仿宋" w:eastAsia="仿宋"/>
          <w:sz w:val="24"/>
        </w:rPr>
        <w:t>具体分为网络安全、主机系统安全、应用安全、数据安全及备份恢复、安全管理机构、安全管理制度、人员安全管理、系统建设管理和系统运维管理等几个方面，同时配合漏洞扫描工具对检查结果进行验证、分析。</w:t>
      </w:r>
    </w:p>
    <w:p>
      <w:pPr>
        <w:spacing w:line="480" w:lineRule="exact"/>
        <w:rPr>
          <w:rFonts w:ascii="仿宋" w:hAnsi="仿宋" w:eastAsia="仿宋"/>
          <w:sz w:val="24"/>
        </w:rPr>
      </w:pPr>
      <w:bookmarkStart w:id="3" w:name="_Toc183323075"/>
      <w:bookmarkStart w:id="4" w:name="_Toc278964495"/>
      <w:bookmarkStart w:id="5" w:name="_Toc182638545"/>
      <w:bookmarkStart w:id="6" w:name="_Toc230747272"/>
      <w:r>
        <w:rPr>
          <w:rFonts w:ascii="仿宋" w:hAnsi="仿宋" w:eastAsia="仿宋"/>
          <w:sz w:val="24"/>
        </w:rPr>
        <w:t>物理安全</w:t>
      </w:r>
      <w:bookmarkEnd w:id="3"/>
      <w:bookmarkEnd w:id="4"/>
      <w:bookmarkEnd w:id="5"/>
      <w:bookmarkEnd w:id="6"/>
    </w:p>
    <w:p>
      <w:pPr>
        <w:spacing w:line="480" w:lineRule="exact"/>
        <w:ind w:firstLine="240" w:firstLineChars="100"/>
        <w:rPr>
          <w:rFonts w:ascii="仿宋" w:hAnsi="仿宋" w:eastAsia="仿宋"/>
          <w:sz w:val="24"/>
        </w:rPr>
      </w:pPr>
      <w:r>
        <w:rPr>
          <w:rFonts w:ascii="仿宋" w:hAnsi="仿宋" w:eastAsia="仿宋"/>
          <w:sz w:val="24"/>
        </w:rPr>
        <w:t>物理安全测评将通过访谈和检查的方式评测信息系统的物理安全保障情况。主要涉及对象为机房。</w:t>
      </w:r>
    </w:p>
    <w:p>
      <w:pPr>
        <w:spacing w:line="480" w:lineRule="exact"/>
        <w:ind w:firstLine="240" w:firstLineChars="100"/>
        <w:rPr>
          <w:rFonts w:ascii="仿宋" w:hAnsi="仿宋" w:eastAsia="仿宋"/>
          <w:sz w:val="24"/>
        </w:rPr>
      </w:pPr>
      <w:r>
        <w:rPr>
          <w:rFonts w:ascii="仿宋" w:hAnsi="仿宋" w:eastAsia="仿宋"/>
          <w:sz w:val="24"/>
        </w:rPr>
        <w:t>在内容上，物理安全层面测评实施过程涉及10个工作单元，具体如下表：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25"/>
        <w:gridCol w:w="1546"/>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95" w:hRule="atLeast"/>
          <w:tblHeader/>
        </w:trPr>
        <w:tc>
          <w:tcPr>
            <w:tcW w:w="625"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546"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197" w:type="dxa"/>
            <w:shd w:val="clear" w:color="auto" w:fill="F3F3F3"/>
            <w:vAlign w:val="center"/>
          </w:tcPr>
          <w:p>
            <w:pPr>
              <w:jc w:val="center"/>
              <w:rPr>
                <w:rFonts w:ascii="仿宋" w:hAnsi="仿宋" w:eastAsia="仿宋"/>
                <w:b/>
                <w:sz w:val="24"/>
              </w:rPr>
            </w:pPr>
            <w:r>
              <w:rPr>
                <w:rFonts w:ascii="仿宋" w:hAnsi="仿宋" w:eastAsia="仿宋"/>
                <w:b/>
                <w:sz w:val="24"/>
              </w:rPr>
              <w:t>工作单元描</w:t>
            </w:r>
            <w:r>
              <w:rPr>
                <w:rFonts w:hint="eastAsia" w:ascii="仿宋" w:hAnsi="仿宋" w:eastAsia="仿宋"/>
                <w:b/>
                <w:sz w:val="24"/>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1</w:t>
            </w:r>
          </w:p>
        </w:tc>
        <w:tc>
          <w:tcPr>
            <w:tcW w:w="1546" w:type="dxa"/>
            <w:vAlign w:val="center"/>
          </w:tcPr>
          <w:p>
            <w:pPr>
              <w:rPr>
                <w:rFonts w:ascii="仿宋" w:hAnsi="仿宋" w:eastAsia="仿宋"/>
                <w:sz w:val="24"/>
              </w:rPr>
            </w:pPr>
            <w:r>
              <w:rPr>
                <w:rFonts w:ascii="仿宋" w:hAnsi="仿宋" w:eastAsia="仿宋"/>
                <w:sz w:val="24"/>
              </w:rPr>
              <w:t>物理位置的选择</w:t>
            </w:r>
          </w:p>
        </w:tc>
        <w:tc>
          <w:tcPr>
            <w:tcW w:w="6197" w:type="dxa"/>
            <w:vAlign w:val="center"/>
          </w:tcPr>
          <w:p>
            <w:pPr>
              <w:rPr>
                <w:rFonts w:ascii="仿宋" w:hAnsi="仿宋" w:eastAsia="仿宋"/>
                <w:sz w:val="24"/>
              </w:rPr>
            </w:pPr>
            <w:r>
              <w:rPr>
                <w:rFonts w:ascii="仿宋" w:hAnsi="仿宋" w:eastAsia="仿宋"/>
                <w:sz w:val="24"/>
              </w:rPr>
              <w:t>通过访谈物理安全负责人，检查机房，测评机房物理场所在位置上是否具有防震、防风和防雨等多方面的安全防范能力。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99" w:hRule="atLeast"/>
        </w:trPr>
        <w:tc>
          <w:tcPr>
            <w:tcW w:w="625" w:type="dxa"/>
            <w:vAlign w:val="center"/>
          </w:tcPr>
          <w:p>
            <w:pPr>
              <w:rPr>
                <w:rFonts w:ascii="仿宋" w:hAnsi="仿宋" w:eastAsia="仿宋"/>
                <w:sz w:val="24"/>
              </w:rPr>
            </w:pPr>
            <w:r>
              <w:rPr>
                <w:rFonts w:ascii="仿宋" w:hAnsi="仿宋" w:eastAsia="仿宋"/>
                <w:sz w:val="24"/>
              </w:rPr>
              <w:t>2</w:t>
            </w:r>
          </w:p>
        </w:tc>
        <w:tc>
          <w:tcPr>
            <w:tcW w:w="1546" w:type="dxa"/>
            <w:vAlign w:val="center"/>
          </w:tcPr>
          <w:p>
            <w:pPr>
              <w:rPr>
                <w:rFonts w:ascii="仿宋" w:hAnsi="仿宋" w:eastAsia="仿宋"/>
                <w:sz w:val="24"/>
              </w:rPr>
            </w:pPr>
            <w:r>
              <w:rPr>
                <w:rFonts w:ascii="仿宋" w:hAnsi="仿宋" w:eastAsia="仿宋"/>
                <w:sz w:val="24"/>
              </w:rPr>
              <w:t>物理访问控制</w:t>
            </w:r>
          </w:p>
        </w:tc>
        <w:tc>
          <w:tcPr>
            <w:tcW w:w="6197" w:type="dxa"/>
            <w:vAlign w:val="center"/>
          </w:tcPr>
          <w:p>
            <w:pPr>
              <w:rPr>
                <w:rFonts w:ascii="仿宋" w:hAnsi="仿宋" w:eastAsia="仿宋"/>
                <w:sz w:val="24"/>
              </w:rPr>
            </w:pPr>
            <w:r>
              <w:rPr>
                <w:rFonts w:ascii="仿宋" w:hAnsi="仿宋" w:eastAsia="仿宋"/>
                <w:sz w:val="24"/>
              </w:rPr>
              <w:t>通过访谈物理安全负责人，检查机房出入口等过程，测评信息系统在物理访问控制方面的安全防范能力。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3</w:t>
            </w:r>
          </w:p>
        </w:tc>
        <w:tc>
          <w:tcPr>
            <w:tcW w:w="1546" w:type="dxa"/>
            <w:vAlign w:val="center"/>
          </w:tcPr>
          <w:p>
            <w:pPr>
              <w:rPr>
                <w:rFonts w:ascii="仿宋" w:hAnsi="仿宋" w:eastAsia="仿宋"/>
                <w:sz w:val="24"/>
              </w:rPr>
            </w:pPr>
            <w:r>
              <w:rPr>
                <w:rFonts w:ascii="仿宋" w:hAnsi="仿宋" w:eastAsia="仿宋"/>
                <w:sz w:val="24"/>
              </w:rPr>
              <w:t>防盗窃和防破坏</w:t>
            </w:r>
          </w:p>
        </w:tc>
        <w:tc>
          <w:tcPr>
            <w:tcW w:w="6197" w:type="dxa"/>
            <w:vAlign w:val="center"/>
          </w:tcPr>
          <w:p>
            <w:pPr>
              <w:rPr>
                <w:rFonts w:ascii="仿宋" w:hAnsi="仿宋" w:eastAsia="仿宋"/>
                <w:sz w:val="24"/>
              </w:rPr>
            </w:pPr>
            <w:r>
              <w:rPr>
                <w:rFonts w:ascii="仿宋" w:hAnsi="仿宋" w:eastAsia="仿宋"/>
                <w:sz w:val="24"/>
              </w:rPr>
              <w:t>通过访谈物理安全负责人，检查机房内的主要设备、介质和防盗报警设施等过程，测评信息系统是否采取必要的措施预防设备、介质等丢失和被破坏。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4</w:t>
            </w:r>
          </w:p>
        </w:tc>
        <w:tc>
          <w:tcPr>
            <w:tcW w:w="1546" w:type="dxa"/>
            <w:vAlign w:val="center"/>
          </w:tcPr>
          <w:p>
            <w:pPr>
              <w:rPr>
                <w:rFonts w:ascii="仿宋" w:hAnsi="仿宋" w:eastAsia="仿宋"/>
                <w:sz w:val="24"/>
              </w:rPr>
            </w:pPr>
            <w:r>
              <w:rPr>
                <w:rFonts w:ascii="仿宋" w:hAnsi="仿宋" w:eastAsia="仿宋"/>
                <w:sz w:val="24"/>
              </w:rPr>
              <w:t>防雷击</w:t>
            </w:r>
          </w:p>
        </w:tc>
        <w:tc>
          <w:tcPr>
            <w:tcW w:w="6197" w:type="dxa"/>
            <w:vAlign w:val="center"/>
          </w:tcPr>
          <w:p>
            <w:pPr>
              <w:rPr>
                <w:rFonts w:ascii="仿宋" w:hAnsi="仿宋" w:eastAsia="仿宋"/>
                <w:sz w:val="24"/>
              </w:rPr>
            </w:pPr>
            <w:r>
              <w:rPr>
                <w:rFonts w:ascii="仿宋" w:hAnsi="仿宋" w:eastAsia="仿宋"/>
                <w:sz w:val="24"/>
              </w:rPr>
              <w:t>通过访谈物理安全负责人，检查机房设计/验收文档，测评信息系统是否采取相应的措施预防雷击。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11" w:hRule="atLeast"/>
        </w:trPr>
        <w:tc>
          <w:tcPr>
            <w:tcW w:w="625" w:type="dxa"/>
            <w:vAlign w:val="center"/>
          </w:tcPr>
          <w:p>
            <w:pPr>
              <w:rPr>
                <w:rFonts w:ascii="仿宋" w:hAnsi="仿宋" w:eastAsia="仿宋"/>
                <w:sz w:val="24"/>
              </w:rPr>
            </w:pPr>
            <w:r>
              <w:rPr>
                <w:rFonts w:ascii="仿宋" w:hAnsi="仿宋" w:eastAsia="仿宋"/>
                <w:sz w:val="24"/>
              </w:rPr>
              <w:t>5</w:t>
            </w:r>
          </w:p>
        </w:tc>
        <w:tc>
          <w:tcPr>
            <w:tcW w:w="1546" w:type="dxa"/>
            <w:vAlign w:val="center"/>
          </w:tcPr>
          <w:p>
            <w:pPr>
              <w:rPr>
                <w:rFonts w:ascii="仿宋" w:hAnsi="仿宋" w:eastAsia="仿宋"/>
                <w:sz w:val="24"/>
              </w:rPr>
            </w:pPr>
            <w:r>
              <w:rPr>
                <w:rFonts w:ascii="仿宋" w:hAnsi="仿宋" w:eastAsia="仿宋"/>
                <w:sz w:val="24"/>
              </w:rPr>
              <w:t>防火</w:t>
            </w:r>
          </w:p>
        </w:tc>
        <w:tc>
          <w:tcPr>
            <w:tcW w:w="6197" w:type="dxa"/>
            <w:vAlign w:val="center"/>
          </w:tcPr>
          <w:p>
            <w:pPr>
              <w:rPr>
                <w:rFonts w:ascii="仿宋" w:hAnsi="仿宋" w:eastAsia="仿宋"/>
                <w:sz w:val="24"/>
              </w:rPr>
            </w:pPr>
            <w:r>
              <w:rPr>
                <w:rFonts w:ascii="仿宋" w:hAnsi="仿宋" w:eastAsia="仿宋"/>
                <w:sz w:val="24"/>
              </w:rPr>
              <w:t>通过访谈物理安全负责人，检查机房防火方面的安全管理制度，检查机房防火设备等过程，测评信息系统是否采取必要的措施防止火灾的发生。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6</w:t>
            </w:r>
          </w:p>
        </w:tc>
        <w:tc>
          <w:tcPr>
            <w:tcW w:w="1546" w:type="dxa"/>
            <w:vAlign w:val="center"/>
          </w:tcPr>
          <w:p>
            <w:pPr>
              <w:rPr>
                <w:rFonts w:ascii="仿宋" w:hAnsi="仿宋" w:eastAsia="仿宋"/>
                <w:sz w:val="24"/>
              </w:rPr>
            </w:pPr>
            <w:r>
              <w:rPr>
                <w:rFonts w:ascii="仿宋" w:hAnsi="仿宋" w:eastAsia="仿宋"/>
                <w:sz w:val="24"/>
              </w:rPr>
              <w:t>防水和防潮</w:t>
            </w:r>
          </w:p>
        </w:tc>
        <w:tc>
          <w:tcPr>
            <w:tcW w:w="6197" w:type="dxa"/>
            <w:vAlign w:val="center"/>
          </w:tcPr>
          <w:p>
            <w:pPr>
              <w:rPr>
                <w:rFonts w:ascii="仿宋" w:hAnsi="仿宋" w:eastAsia="仿宋"/>
                <w:sz w:val="24"/>
              </w:rPr>
            </w:pPr>
            <w:r>
              <w:rPr>
                <w:rFonts w:ascii="仿宋" w:hAnsi="仿宋" w:eastAsia="仿宋"/>
                <w:sz w:val="24"/>
              </w:rPr>
              <w:t>通过访谈物理安全负责人，检查机房及其除潮设备等过程，测评信息系统是否采取必要措施来防止水灾和机房潮湿。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7</w:t>
            </w:r>
          </w:p>
        </w:tc>
        <w:tc>
          <w:tcPr>
            <w:tcW w:w="1546" w:type="dxa"/>
            <w:vAlign w:val="center"/>
          </w:tcPr>
          <w:p>
            <w:pPr>
              <w:rPr>
                <w:rFonts w:ascii="仿宋" w:hAnsi="仿宋" w:eastAsia="仿宋"/>
                <w:sz w:val="24"/>
              </w:rPr>
            </w:pPr>
            <w:r>
              <w:rPr>
                <w:rFonts w:ascii="仿宋" w:hAnsi="仿宋" w:eastAsia="仿宋"/>
                <w:sz w:val="24"/>
              </w:rPr>
              <w:t>防静电</w:t>
            </w:r>
          </w:p>
        </w:tc>
        <w:tc>
          <w:tcPr>
            <w:tcW w:w="6197" w:type="dxa"/>
            <w:vAlign w:val="center"/>
          </w:tcPr>
          <w:p>
            <w:pPr>
              <w:rPr>
                <w:rFonts w:ascii="仿宋" w:hAnsi="仿宋" w:eastAsia="仿宋"/>
                <w:sz w:val="24"/>
              </w:rPr>
            </w:pPr>
            <w:r>
              <w:rPr>
                <w:rFonts w:ascii="仿宋" w:hAnsi="仿宋" w:eastAsia="仿宋"/>
                <w:sz w:val="24"/>
              </w:rPr>
              <w:t>通过访谈物理安全负责人，检查机房等过程，测评信息系统是否采取必要措施防止静电的产生。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8</w:t>
            </w:r>
          </w:p>
        </w:tc>
        <w:tc>
          <w:tcPr>
            <w:tcW w:w="1546" w:type="dxa"/>
            <w:vAlign w:val="center"/>
          </w:tcPr>
          <w:p>
            <w:pPr>
              <w:rPr>
                <w:rFonts w:ascii="仿宋" w:hAnsi="仿宋" w:eastAsia="仿宋"/>
                <w:sz w:val="24"/>
              </w:rPr>
            </w:pPr>
            <w:r>
              <w:rPr>
                <w:rFonts w:ascii="仿宋" w:hAnsi="仿宋" w:eastAsia="仿宋"/>
                <w:sz w:val="24"/>
              </w:rPr>
              <w:t>温湿度控制</w:t>
            </w:r>
          </w:p>
        </w:tc>
        <w:tc>
          <w:tcPr>
            <w:tcW w:w="6197" w:type="dxa"/>
            <w:vAlign w:val="center"/>
          </w:tcPr>
          <w:p>
            <w:pPr>
              <w:rPr>
                <w:rFonts w:ascii="仿宋" w:hAnsi="仿宋" w:eastAsia="仿宋"/>
                <w:sz w:val="24"/>
              </w:rPr>
            </w:pPr>
            <w:r>
              <w:rPr>
                <w:rFonts w:ascii="仿宋" w:hAnsi="仿宋" w:eastAsia="仿宋"/>
                <w:sz w:val="24"/>
              </w:rPr>
              <w:t>通过访谈物理安全负责人，检查机房的温湿度自动调节系统，测评信息系统是否采取必要措施对机房内的温湿度进行控制。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9</w:t>
            </w:r>
          </w:p>
        </w:tc>
        <w:tc>
          <w:tcPr>
            <w:tcW w:w="1546" w:type="dxa"/>
            <w:vAlign w:val="center"/>
          </w:tcPr>
          <w:p>
            <w:pPr>
              <w:rPr>
                <w:rFonts w:ascii="仿宋" w:hAnsi="仿宋" w:eastAsia="仿宋"/>
                <w:sz w:val="24"/>
              </w:rPr>
            </w:pPr>
            <w:r>
              <w:rPr>
                <w:rFonts w:ascii="仿宋" w:hAnsi="仿宋" w:eastAsia="仿宋"/>
                <w:sz w:val="24"/>
              </w:rPr>
              <w:t>电力供应</w:t>
            </w:r>
          </w:p>
        </w:tc>
        <w:tc>
          <w:tcPr>
            <w:tcW w:w="6197" w:type="dxa"/>
            <w:vAlign w:val="center"/>
          </w:tcPr>
          <w:p>
            <w:pPr>
              <w:rPr>
                <w:rFonts w:ascii="仿宋" w:hAnsi="仿宋" w:eastAsia="仿宋"/>
                <w:sz w:val="24"/>
              </w:rPr>
            </w:pPr>
            <w:r>
              <w:rPr>
                <w:rFonts w:ascii="仿宋" w:hAnsi="仿宋" w:eastAsia="仿宋"/>
                <w:sz w:val="24"/>
              </w:rPr>
              <w:t>通过访谈物理安全负责人，检查机房供电线路、设备等过程，测评是否具备为信息系统提供一定电力供应的能力。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5" w:type="dxa"/>
            <w:vAlign w:val="center"/>
          </w:tcPr>
          <w:p>
            <w:pPr>
              <w:rPr>
                <w:rFonts w:ascii="仿宋" w:hAnsi="仿宋" w:eastAsia="仿宋"/>
                <w:sz w:val="24"/>
              </w:rPr>
            </w:pPr>
            <w:r>
              <w:rPr>
                <w:rFonts w:ascii="仿宋" w:hAnsi="仿宋" w:eastAsia="仿宋"/>
                <w:sz w:val="24"/>
              </w:rPr>
              <w:t>10</w:t>
            </w:r>
          </w:p>
        </w:tc>
        <w:tc>
          <w:tcPr>
            <w:tcW w:w="1546" w:type="dxa"/>
            <w:vAlign w:val="center"/>
          </w:tcPr>
          <w:p>
            <w:pPr>
              <w:rPr>
                <w:rFonts w:ascii="仿宋" w:hAnsi="仿宋" w:eastAsia="仿宋"/>
                <w:sz w:val="24"/>
              </w:rPr>
            </w:pPr>
            <w:r>
              <w:rPr>
                <w:rFonts w:ascii="仿宋" w:hAnsi="仿宋" w:eastAsia="仿宋"/>
                <w:sz w:val="24"/>
              </w:rPr>
              <w:t>电磁防护</w:t>
            </w:r>
          </w:p>
        </w:tc>
        <w:tc>
          <w:tcPr>
            <w:tcW w:w="6197" w:type="dxa"/>
            <w:vAlign w:val="center"/>
          </w:tcPr>
          <w:p>
            <w:pPr>
              <w:rPr>
                <w:rFonts w:ascii="仿宋" w:hAnsi="仿宋" w:eastAsia="仿宋"/>
                <w:sz w:val="24"/>
              </w:rPr>
            </w:pPr>
            <w:r>
              <w:rPr>
                <w:rFonts w:ascii="仿宋" w:hAnsi="仿宋" w:eastAsia="仿宋"/>
                <w:sz w:val="24"/>
              </w:rPr>
              <w:t>通过访谈物理安全负责人，检查主要设备等过程，测评信息系统是否具备一定的电磁防护能力。</w:t>
            </w:r>
          </w:p>
        </w:tc>
      </w:tr>
    </w:tbl>
    <w:p>
      <w:pPr>
        <w:spacing w:line="480" w:lineRule="exact"/>
        <w:rPr>
          <w:rFonts w:ascii="仿宋" w:hAnsi="仿宋" w:eastAsia="仿宋"/>
          <w:sz w:val="24"/>
        </w:rPr>
      </w:pPr>
      <w:bookmarkStart w:id="7" w:name="_Toc183323076"/>
      <w:bookmarkStart w:id="8" w:name="_Toc230747273"/>
      <w:bookmarkStart w:id="9" w:name="_Toc182638546"/>
      <w:bookmarkStart w:id="10" w:name="_Toc278964496"/>
      <w:r>
        <w:rPr>
          <w:rFonts w:ascii="仿宋" w:hAnsi="仿宋" w:eastAsia="仿宋"/>
          <w:sz w:val="24"/>
        </w:rPr>
        <w:t>网络安全</w:t>
      </w:r>
      <w:bookmarkEnd w:id="7"/>
      <w:bookmarkEnd w:id="8"/>
      <w:bookmarkEnd w:id="9"/>
      <w:bookmarkEnd w:id="10"/>
    </w:p>
    <w:p>
      <w:pPr>
        <w:spacing w:line="480" w:lineRule="exact"/>
        <w:ind w:firstLine="240" w:firstLineChars="100"/>
        <w:rPr>
          <w:rFonts w:ascii="仿宋" w:hAnsi="仿宋" w:eastAsia="仿宋"/>
          <w:sz w:val="24"/>
        </w:rPr>
      </w:pPr>
      <w:r>
        <w:rPr>
          <w:rFonts w:ascii="仿宋" w:hAnsi="仿宋" w:eastAsia="仿宋"/>
          <w:sz w:val="24"/>
        </w:rPr>
        <w:t>网络安全测评将通过访谈、检查和测试的方式评测信息系统的网络安全保障情况。主要涉及对象机房的网络设备、网络安全设备以及网络拓扑结构等三大类对象。在内容上，网络安全层面测评过程涉及7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24"/>
        <w:gridCol w:w="1546"/>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164" w:hRule="atLeast"/>
          <w:tblHeader/>
        </w:trPr>
        <w:tc>
          <w:tcPr>
            <w:tcW w:w="624"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546"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198"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4" w:type="dxa"/>
            <w:vAlign w:val="center"/>
          </w:tcPr>
          <w:p>
            <w:pPr>
              <w:rPr>
                <w:rFonts w:ascii="仿宋" w:hAnsi="仿宋" w:eastAsia="仿宋"/>
                <w:sz w:val="24"/>
              </w:rPr>
            </w:pPr>
            <w:r>
              <w:rPr>
                <w:rFonts w:ascii="仿宋" w:hAnsi="仿宋" w:eastAsia="仿宋"/>
                <w:sz w:val="24"/>
              </w:rPr>
              <w:t>1</w:t>
            </w:r>
          </w:p>
        </w:tc>
        <w:tc>
          <w:tcPr>
            <w:tcW w:w="1546" w:type="dxa"/>
            <w:vAlign w:val="center"/>
          </w:tcPr>
          <w:p>
            <w:pPr>
              <w:rPr>
                <w:rFonts w:ascii="仿宋" w:hAnsi="仿宋" w:eastAsia="仿宋"/>
                <w:sz w:val="24"/>
              </w:rPr>
            </w:pPr>
            <w:r>
              <w:rPr>
                <w:rFonts w:ascii="仿宋" w:hAnsi="仿宋" w:eastAsia="仿宋"/>
                <w:sz w:val="24"/>
              </w:rPr>
              <w:t>结构安全</w:t>
            </w:r>
          </w:p>
        </w:tc>
        <w:tc>
          <w:tcPr>
            <w:tcW w:w="6198" w:type="dxa"/>
            <w:vAlign w:val="center"/>
          </w:tcPr>
          <w:p>
            <w:pPr>
              <w:rPr>
                <w:rFonts w:ascii="仿宋" w:hAnsi="仿宋" w:eastAsia="仿宋"/>
                <w:sz w:val="24"/>
              </w:rPr>
            </w:pPr>
            <w:r>
              <w:rPr>
                <w:rFonts w:ascii="仿宋" w:hAnsi="仿宋" w:eastAsia="仿宋"/>
                <w:sz w:val="24"/>
              </w:rPr>
              <w:t>通过访谈网络管理员，检查网络拓扑情况、核查核心交换机、路由器，测评分析网络架构与网段划分、隔离等情况的合理性和有效性。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4" w:type="dxa"/>
            <w:vAlign w:val="center"/>
          </w:tcPr>
          <w:p>
            <w:pPr>
              <w:rPr>
                <w:rFonts w:ascii="仿宋" w:hAnsi="仿宋" w:eastAsia="仿宋"/>
                <w:sz w:val="24"/>
              </w:rPr>
            </w:pPr>
            <w:r>
              <w:rPr>
                <w:rFonts w:ascii="仿宋" w:hAnsi="仿宋" w:eastAsia="仿宋"/>
                <w:sz w:val="24"/>
              </w:rPr>
              <w:t>2</w:t>
            </w:r>
          </w:p>
        </w:tc>
        <w:tc>
          <w:tcPr>
            <w:tcW w:w="1546" w:type="dxa"/>
            <w:vAlign w:val="center"/>
          </w:tcPr>
          <w:p>
            <w:pPr>
              <w:rPr>
                <w:rFonts w:ascii="仿宋" w:hAnsi="仿宋" w:eastAsia="仿宋"/>
                <w:sz w:val="24"/>
              </w:rPr>
            </w:pPr>
            <w:r>
              <w:rPr>
                <w:rFonts w:ascii="仿宋" w:hAnsi="仿宋" w:eastAsia="仿宋"/>
                <w:sz w:val="24"/>
              </w:rPr>
              <w:t>访问控制</w:t>
            </w:r>
          </w:p>
        </w:tc>
        <w:tc>
          <w:tcPr>
            <w:tcW w:w="6198" w:type="dxa"/>
            <w:vAlign w:val="center"/>
          </w:tcPr>
          <w:p>
            <w:pPr>
              <w:rPr>
                <w:rFonts w:ascii="仿宋" w:hAnsi="仿宋" w:eastAsia="仿宋"/>
                <w:sz w:val="24"/>
              </w:rPr>
            </w:pPr>
            <w:r>
              <w:rPr>
                <w:rFonts w:ascii="仿宋" w:hAnsi="仿宋" w:eastAsia="仿宋"/>
                <w:sz w:val="24"/>
              </w:rPr>
              <w:t>通过访谈安全员，检查防火墙等网络访问控制设备，测试系统对外暴露安全漏洞情况等，测评分析信息系统对网络区域边界相关的网络隔离与访问控制能力。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4" w:type="dxa"/>
            <w:vAlign w:val="center"/>
          </w:tcPr>
          <w:p>
            <w:pPr>
              <w:rPr>
                <w:rFonts w:ascii="仿宋" w:hAnsi="仿宋" w:eastAsia="仿宋"/>
                <w:sz w:val="24"/>
              </w:rPr>
            </w:pPr>
            <w:r>
              <w:rPr>
                <w:rFonts w:ascii="仿宋" w:hAnsi="仿宋" w:eastAsia="仿宋"/>
                <w:sz w:val="24"/>
              </w:rPr>
              <w:t>3</w:t>
            </w:r>
          </w:p>
        </w:tc>
        <w:tc>
          <w:tcPr>
            <w:tcW w:w="1546" w:type="dxa"/>
            <w:vAlign w:val="center"/>
          </w:tcPr>
          <w:p>
            <w:pPr>
              <w:rPr>
                <w:rFonts w:ascii="仿宋" w:hAnsi="仿宋" w:eastAsia="仿宋"/>
                <w:sz w:val="24"/>
              </w:rPr>
            </w:pPr>
            <w:r>
              <w:rPr>
                <w:rFonts w:ascii="仿宋" w:hAnsi="仿宋" w:eastAsia="仿宋"/>
                <w:sz w:val="24"/>
              </w:rPr>
              <w:t>安全审计</w:t>
            </w:r>
          </w:p>
        </w:tc>
        <w:tc>
          <w:tcPr>
            <w:tcW w:w="6198" w:type="dxa"/>
            <w:vAlign w:val="center"/>
          </w:tcPr>
          <w:p>
            <w:pPr>
              <w:rPr>
                <w:rFonts w:ascii="仿宋" w:hAnsi="仿宋" w:eastAsia="仿宋"/>
                <w:sz w:val="24"/>
              </w:rPr>
            </w:pPr>
            <w:r>
              <w:rPr>
                <w:rFonts w:ascii="仿宋" w:hAnsi="仿宋" w:eastAsia="仿宋"/>
                <w:sz w:val="24"/>
              </w:rPr>
              <w:t>通过访谈审计员，检查核心交换机、路由器等网络互联设备的安全审计情况等，测评分析信息系统审计配置和审计记录保护情况。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4" w:type="dxa"/>
            <w:vAlign w:val="center"/>
          </w:tcPr>
          <w:p>
            <w:pPr>
              <w:rPr>
                <w:rFonts w:ascii="仿宋" w:hAnsi="仿宋" w:eastAsia="仿宋"/>
                <w:sz w:val="24"/>
              </w:rPr>
            </w:pPr>
            <w:r>
              <w:rPr>
                <w:rFonts w:ascii="仿宋" w:hAnsi="仿宋" w:eastAsia="仿宋"/>
                <w:sz w:val="24"/>
              </w:rPr>
              <w:t>4</w:t>
            </w:r>
          </w:p>
        </w:tc>
        <w:tc>
          <w:tcPr>
            <w:tcW w:w="1546" w:type="dxa"/>
            <w:vAlign w:val="center"/>
          </w:tcPr>
          <w:p>
            <w:pPr>
              <w:rPr>
                <w:rFonts w:ascii="仿宋" w:hAnsi="仿宋" w:eastAsia="仿宋"/>
                <w:sz w:val="24"/>
              </w:rPr>
            </w:pPr>
            <w:r>
              <w:rPr>
                <w:rFonts w:ascii="仿宋" w:hAnsi="仿宋" w:eastAsia="仿宋"/>
                <w:sz w:val="24"/>
              </w:rPr>
              <w:t>边界完整性检查</w:t>
            </w:r>
          </w:p>
        </w:tc>
        <w:tc>
          <w:tcPr>
            <w:tcW w:w="6198" w:type="dxa"/>
            <w:vAlign w:val="center"/>
          </w:tcPr>
          <w:p>
            <w:pPr>
              <w:rPr>
                <w:rFonts w:ascii="仿宋" w:hAnsi="仿宋" w:eastAsia="仿宋"/>
                <w:sz w:val="24"/>
              </w:rPr>
            </w:pPr>
            <w:r>
              <w:rPr>
                <w:rFonts w:ascii="仿宋" w:hAnsi="仿宋" w:eastAsia="仿宋"/>
                <w:sz w:val="24"/>
              </w:rPr>
              <w:t>通过访谈安全员，检查边界完整性检查设备,接入边界完整性检查设备进行测试等过程，测评分析信息系统私自联到外部网络的行为。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4" w:type="dxa"/>
            <w:vAlign w:val="center"/>
          </w:tcPr>
          <w:p>
            <w:pPr>
              <w:rPr>
                <w:rFonts w:ascii="仿宋" w:hAnsi="仿宋" w:eastAsia="仿宋"/>
                <w:sz w:val="24"/>
              </w:rPr>
            </w:pPr>
            <w:r>
              <w:rPr>
                <w:rFonts w:ascii="仿宋" w:hAnsi="仿宋" w:eastAsia="仿宋"/>
                <w:sz w:val="24"/>
              </w:rPr>
              <w:t>5</w:t>
            </w:r>
          </w:p>
        </w:tc>
        <w:tc>
          <w:tcPr>
            <w:tcW w:w="1546" w:type="dxa"/>
            <w:vAlign w:val="center"/>
          </w:tcPr>
          <w:p>
            <w:pPr>
              <w:rPr>
                <w:rFonts w:ascii="仿宋" w:hAnsi="仿宋" w:eastAsia="仿宋"/>
                <w:sz w:val="24"/>
              </w:rPr>
            </w:pPr>
            <w:r>
              <w:rPr>
                <w:rFonts w:ascii="仿宋" w:hAnsi="仿宋" w:eastAsia="仿宋"/>
                <w:sz w:val="24"/>
              </w:rPr>
              <w:t>入</w:t>
            </w:r>
            <w:r>
              <w:rPr>
                <w:rFonts w:hint="eastAsia" w:ascii="仿宋" w:hAnsi="仿宋" w:eastAsia="仿宋"/>
                <w:sz w:val="24"/>
              </w:rPr>
              <w:t>侵</w:t>
            </w:r>
            <w:r>
              <w:rPr>
                <w:rFonts w:ascii="仿宋" w:hAnsi="仿宋" w:eastAsia="仿宋"/>
                <w:sz w:val="24"/>
              </w:rPr>
              <w:t>防范</w:t>
            </w:r>
          </w:p>
        </w:tc>
        <w:tc>
          <w:tcPr>
            <w:tcW w:w="6198" w:type="dxa"/>
            <w:vAlign w:val="center"/>
          </w:tcPr>
          <w:p>
            <w:pPr>
              <w:rPr>
                <w:rFonts w:ascii="仿宋" w:hAnsi="仿宋" w:eastAsia="仿宋"/>
                <w:sz w:val="24"/>
              </w:rPr>
            </w:pPr>
            <w:r>
              <w:rPr>
                <w:rFonts w:ascii="仿宋" w:hAnsi="仿宋" w:eastAsia="仿宋"/>
                <w:sz w:val="24"/>
              </w:rPr>
              <w:t>通过访谈安全员，测评分析信息系统对攻击行为的识别和处理情况。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24" w:type="dxa"/>
            <w:vAlign w:val="center"/>
          </w:tcPr>
          <w:p>
            <w:pPr>
              <w:rPr>
                <w:rFonts w:ascii="仿宋" w:hAnsi="仿宋" w:eastAsia="仿宋"/>
                <w:sz w:val="24"/>
              </w:rPr>
            </w:pPr>
            <w:r>
              <w:rPr>
                <w:rFonts w:ascii="仿宋" w:hAnsi="仿宋" w:eastAsia="仿宋"/>
                <w:sz w:val="24"/>
              </w:rPr>
              <w:t>6</w:t>
            </w:r>
          </w:p>
        </w:tc>
        <w:tc>
          <w:tcPr>
            <w:tcW w:w="1546" w:type="dxa"/>
            <w:vAlign w:val="center"/>
          </w:tcPr>
          <w:p>
            <w:pPr>
              <w:rPr>
                <w:rFonts w:ascii="仿宋" w:hAnsi="仿宋" w:eastAsia="仿宋"/>
                <w:sz w:val="24"/>
              </w:rPr>
            </w:pPr>
            <w:r>
              <w:rPr>
                <w:rFonts w:ascii="仿宋" w:hAnsi="仿宋" w:eastAsia="仿宋"/>
                <w:sz w:val="24"/>
              </w:rPr>
              <w:t>恶意代码防范</w:t>
            </w:r>
          </w:p>
        </w:tc>
        <w:tc>
          <w:tcPr>
            <w:tcW w:w="6198" w:type="dxa"/>
            <w:vAlign w:val="center"/>
          </w:tcPr>
          <w:p>
            <w:pPr>
              <w:rPr>
                <w:rFonts w:ascii="仿宋" w:hAnsi="仿宋" w:eastAsia="仿宋"/>
                <w:sz w:val="24"/>
              </w:rPr>
            </w:pPr>
            <w:r>
              <w:rPr>
                <w:rFonts w:ascii="仿宋" w:hAnsi="仿宋" w:eastAsia="仿宋"/>
                <w:sz w:val="24"/>
              </w:rPr>
              <w:t>通过访谈安全员，检查网络防恶意代码产品等过程，测评分析信息系统网络边界和核心网段对病毒等恶意代码的防护情况。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693" w:hRule="atLeast"/>
        </w:trPr>
        <w:tc>
          <w:tcPr>
            <w:tcW w:w="624" w:type="dxa"/>
            <w:vAlign w:val="center"/>
          </w:tcPr>
          <w:p>
            <w:pPr>
              <w:rPr>
                <w:rFonts w:ascii="仿宋" w:hAnsi="仿宋" w:eastAsia="仿宋"/>
                <w:sz w:val="24"/>
              </w:rPr>
            </w:pPr>
            <w:r>
              <w:rPr>
                <w:rFonts w:ascii="仿宋" w:hAnsi="仿宋" w:eastAsia="仿宋"/>
                <w:sz w:val="24"/>
              </w:rPr>
              <w:t>7</w:t>
            </w:r>
          </w:p>
        </w:tc>
        <w:tc>
          <w:tcPr>
            <w:tcW w:w="1546" w:type="dxa"/>
            <w:vAlign w:val="center"/>
          </w:tcPr>
          <w:p>
            <w:pPr>
              <w:rPr>
                <w:rFonts w:ascii="仿宋" w:hAnsi="仿宋" w:eastAsia="仿宋"/>
                <w:sz w:val="24"/>
              </w:rPr>
            </w:pPr>
            <w:r>
              <w:rPr>
                <w:rFonts w:ascii="仿宋" w:hAnsi="仿宋" w:eastAsia="仿宋"/>
                <w:sz w:val="24"/>
              </w:rPr>
              <w:t>网络设备防护</w:t>
            </w:r>
          </w:p>
        </w:tc>
        <w:tc>
          <w:tcPr>
            <w:tcW w:w="6198" w:type="dxa"/>
            <w:vAlign w:val="center"/>
          </w:tcPr>
          <w:p>
            <w:pPr>
              <w:rPr>
                <w:rFonts w:ascii="仿宋" w:hAnsi="仿宋" w:eastAsia="仿宋"/>
                <w:sz w:val="24"/>
              </w:rPr>
            </w:pPr>
            <w:r>
              <w:rPr>
                <w:rFonts w:ascii="仿宋" w:hAnsi="仿宋" w:eastAsia="仿宋"/>
                <w:sz w:val="24"/>
              </w:rPr>
              <w:t>通过访谈网络管理员，检查交换机、路由器等网络互联设备以及防火墙等网络安全设备，查看它们的安全配置情况，包括身份鉴别、登录失败处理、限制非法登录和登录连接超时等，考察网络设备自身的安全防范情况。</w:t>
            </w:r>
          </w:p>
        </w:tc>
      </w:tr>
    </w:tbl>
    <w:p>
      <w:pPr>
        <w:spacing w:line="480" w:lineRule="exact"/>
        <w:rPr>
          <w:rFonts w:ascii="仿宋" w:hAnsi="仿宋" w:eastAsia="仿宋"/>
          <w:sz w:val="24"/>
        </w:rPr>
      </w:pPr>
      <w:bookmarkStart w:id="11" w:name="_Toc278964497"/>
      <w:bookmarkStart w:id="12" w:name="_Toc182638547"/>
      <w:bookmarkStart w:id="13" w:name="_Toc183323077"/>
      <w:bookmarkStart w:id="14" w:name="_Toc230747274"/>
      <w:bookmarkStart w:id="15" w:name="_Toc182390511"/>
      <w:r>
        <w:rPr>
          <w:rFonts w:ascii="仿宋" w:hAnsi="仿宋" w:eastAsia="仿宋"/>
          <w:sz w:val="24"/>
        </w:rPr>
        <w:t>主机系统安全</w:t>
      </w:r>
      <w:bookmarkEnd w:id="11"/>
      <w:bookmarkEnd w:id="12"/>
      <w:bookmarkEnd w:id="13"/>
      <w:bookmarkEnd w:id="14"/>
      <w:bookmarkEnd w:id="15"/>
    </w:p>
    <w:p>
      <w:pPr>
        <w:spacing w:line="480" w:lineRule="exact"/>
        <w:ind w:firstLine="240" w:firstLineChars="100"/>
        <w:rPr>
          <w:rFonts w:ascii="仿宋" w:hAnsi="仿宋" w:eastAsia="仿宋"/>
          <w:sz w:val="24"/>
        </w:rPr>
      </w:pPr>
      <w:r>
        <w:rPr>
          <w:rFonts w:ascii="仿宋" w:hAnsi="仿宋" w:eastAsia="仿宋"/>
          <w:sz w:val="24"/>
        </w:rPr>
        <w:t>主机系统安全测评将通过访谈、检查和测试的方式评测信息系统的主机和服务器（操作系统、数据库管理系统）安全保障情况。在内容上，主机系统安全层面测评实施过程涉及7个工作单元，具体如下表：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34"/>
        <w:gridCol w:w="1537"/>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98" w:hRule="atLeast"/>
          <w:tblHeader/>
        </w:trPr>
        <w:tc>
          <w:tcPr>
            <w:tcW w:w="634" w:type="dxa"/>
            <w:shd w:val="clear" w:color="auto" w:fill="F3F3F3"/>
            <w:vAlign w:val="center"/>
          </w:tcPr>
          <w:p>
            <w:pPr>
              <w:spacing w:line="360" w:lineRule="exact"/>
              <w:jc w:val="center"/>
              <w:rPr>
                <w:rFonts w:ascii="仿宋" w:hAnsi="仿宋" w:eastAsia="仿宋"/>
                <w:b/>
                <w:sz w:val="24"/>
              </w:rPr>
            </w:pPr>
            <w:r>
              <w:rPr>
                <w:rFonts w:ascii="仿宋" w:hAnsi="仿宋" w:eastAsia="仿宋"/>
                <w:b/>
                <w:sz w:val="24"/>
              </w:rPr>
              <w:t>序号</w:t>
            </w:r>
          </w:p>
        </w:tc>
        <w:tc>
          <w:tcPr>
            <w:tcW w:w="1537" w:type="dxa"/>
            <w:shd w:val="clear" w:color="auto" w:fill="F3F3F3"/>
            <w:vAlign w:val="center"/>
          </w:tcPr>
          <w:p>
            <w:pPr>
              <w:spacing w:line="360" w:lineRule="exact"/>
              <w:jc w:val="center"/>
              <w:rPr>
                <w:rFonts w:ascii="仿宋" w:hAnsi="仿宋" w:eastAsia="仿宋"/>
                <w:b/>
                <w:sz w:val="24"/>
              </w:rPr>
            </w:pPr>
            <w:r>
              <w:rPr>
                <w:rFonts w:ascii="仿宋" w:hAnsi="仿宋" w:eastAsia="仿宋"/>
                <w:b/>
                <w:sz w:val="24"/>
              </w:rPr>
              <w:t>工作单元名称</w:t>
            </w:r>
          </w:p>
        </w:tc>
        <w:tc>
          <w:tcPr>
            <w:tcW w:w="6197" w:type="dxa"/>
            <w:shd w:val="clear" w:color="auto" w:fill="F3F3F3"/>
            <w:vAlign w:val="center"/>
          </w:tcPr>
          <w:p>
            <w:pPr>
              <w:spacing w:line="360" w:lineRule="exact"/>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spacing w:line="360" w:lineRule="exact"/>
              <w:rPr>
                <w:rFonts w:ascii="仿宋" w:hAnsi="仿宋" w:eastAsia="仿宋"/>
                <w:sz w:val="24"/>
              </w:rPr>
            </w:pPr>
            <w:r>
              <w:rPr>
                <w:rFonts w:ascii="仿宋" w:hAnsi="仿宋" w:eastAsia="仿宋"/>
                <w:sz w:val="24"/>
              </w:rPr>
              <w:t>1</w:t>
            </w:r>
          </w:p>
        </w:tc>
        <w:tc>
          <w:tcPr>
            <w:tcW w:w="1537" w:type="dxa"/>
            <w:vAlign w:val="center"/>
          </w:tcPr>
          <w:p>
            <w:pPr>
              <w:spacing w:line="360" w:lineRule="exact"/>
              <w:rPr>
                <w:rFonts w:ascii="仿宋" w:hAnsi="仿宋" w:eastAsia="仿宋"/>
                <w:sz w:val="24"/>
              </w:rPr>
            </w:pPr>
            <w:r>
              <w:rPr>
                <w:rFonts w:ascii="仿宋" w:hAnsi="仿宋" w:eastAsia="仿宋"/>
                <w:sz w:val="24"/>
              </w:rPr>
              <w:t>身份鉴别</w:t>
            </w:r>
          </w:p>
        </w:tc>
        <w:tc>
          <w:tcPr>
            <w:tcW w:w="6197" w:type="dxa"/>
            <w:vAlign w:val="center"/>
          </w:tcPr>
          <w:p>
            <w:pPr>
              <w:spacing w:line="360" w:lineRule="exact"/>
              <w:rPr>
                <w:rFonts w:ascii="仿宋" w:hAnsi="仿宋" w:eastAsia="仿宋"/>
                <w:sz w:val="24"/>
              </w:rPr>
            </w:pPr>
            <w:r>
              <w:rPr>
                <w:rFonts w:ascii="仿宋" w:hAnsi="仿宋" w:eastAsia="仿宋"/>
                <w:sz w:val="24"/>
              </w:rPr>
              <w:t>检查服务器的身份标识与鉴别和用户登录的配置情况。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96" w:hRule="atLeast"/>
        </w:trPr>
        <w:tc>
          <w:tcPr>
            <w:tcW w:w="634" w:type="dxa"/>
            <w:vAlign w:val="center"/>
          </w:tcPr>
          <w:p>
            <w:pPr>
              <w:spacing w:line="360" w:lineRule="exact"/>
              <w:rPr>
                <w:rFonts w:ascii="仿宋" w:hAnsi="仿宋" w:eastAsia="仿宋"/>
                <w:sz w:val="24"/>
              </w:rPr>
            </w:pPr>
            <w:r>
              <w:rPr>
                <w:rFonts w:ascii="仿宋" w:hAnsi="仿宋" w:eastAsia="仿宋"/>
                <w:sz w:val="24"/>
              </w:rPr>
              <w:t>2</w:t>
            </w:r>
          </w:p>
        </w:tc>
        <w:tc>
          <w:tcPr>
            <w:tcW w:w="1537" w:type="dxa"/>
            <w:vAlign w:val="center"/>
          </w:tcPr>
          <w:p>
            <w:pPr>
              <w:spacing w:line="360" w:lineRule="exact"/>
              <w:rPr>
                <w:rFonts w:ascii="仿宋" w:hAnsi="仿宋" w:eastAsia="仿宋"/>
                <w:sz w:val="24"/>
              </w:rPr>
            </w:pPr>
            <w:r>
              <w:rPr>
                <w:rFonts w:ascii="仿宋" w:hAnsi="仿宋" w:eastAsia="仿宋"/>
                <w:sz w:val="24"/>
              </w:rPr>
              <w:t>访问控制</w:t>
            </w:r>
          </w:p>
        </w:tc>
        <w:tc>
          <w:tcPr>
            <w:tcW w:w="6197" w:type="dxa"/>
            <w:vAlign w:val="center"/>
          </w:tcPr>
          <w:p>
            <w:pPr>
              <w:spacing w:line="360" w:lineRule="exact"/>
              <w:rPr>
                <w:rFonts w:ascii="仿宋" w:hAnsi="仿宋" w:eastAsia="仿宋"/>
                <w:sz w:val="24"/>
              </w:rPr>
            </w:pPr>
            <w:r>
              <w:rPr>
                <w:rFonts w:ascii="仿宋" w:hAnsi="仿宋" w:eastAsia="仿宋"/>
                <w:sz w:val="24"/>
              </w:rPr>
              <w:t>检查服务器的访问控制设置情况，包括安全策略覆盖、控制粒度以及权限设置情况等。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spacing w:line="360" w:lineRule="exact"/>
              <w:rPr>
                <w:rFonts w:ascii="仿宋" w:hAnsi="仿宋" w:eastAsia="仿宋"/>
                <w:sz w:val="24"/>
              </w:rPr>
            </w:pPr>
            <w:r>
              <w:rPr>
                <w:rFonts w:ascii="仿宋" w:hAnsi="仿宋" w:eastAsia="仿宋"/>
                <w:sz w:val="24"/>
              </w:rPr>
              <w:t>3</w:t>
            </w:r>
          </w:p>
        </w:tc>
        <w:tc>
          <w:tcPr>
            <w:tcW w:w="1537" w:type="dxa"/>
            <w:vAlign w:val="center"/>
          </w:tcPr>
          <w:p>
            <w:pPr>
              <w:spacing w:line="360" w:lineRule="exact"/>
              <w:rPr>
                <w:rFonts w:ascii="仿宋" w:hAnsi="仿宋" w:eastAsia="仿宋"/>
                <w:sz w:val="24"/>
              </w:rPr>
            </w:pPr>
            <w:r>
              <w:rPr>
                <w:rFonts w:ascii="仿宋" w:hAnsi="仿宋" w:eastAsia="仿宋"/>
                <w:sz w:val="24"/>
              </w:rPr>
              <w:t>安全审计</w:t>
            </w:r>
          </w:p>
        </w:tc>
        <w:tc>
          <w:tcPr>
            <w:tcW w:w="6197" w:type="dxa"/>
            <w:vAlign w:val="center"/>
          </w:tcPr>
          <w:p>
            <w:pPr>
              <w:spacing w:line="360" w:lineRule="exact"/>
              <w:rPr>
                <w:rFonts w:ascii="仿宋" w:hAnsi="仿宋" w:eastAsia="仿宋"/>
                <w:sz w:val="24"/>
              </w:rPr>
            </w:pPr>
            <w:r>
              <w:rPr>
                <w:rFonts w:ascii="仿宋" w:hAnsi="仿宋" w:eastAsia="仿宋"/>
                <w:sz w:val="24"/>
              </w:rPr>
              <w:t>检查服务器的安全审计的配置情况，如覆盖范围、记录的项目和内容等；检查安全审计进程和记录的保护情况。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spacing w:line="360" w:lineRule="exact"/>
              <w:rPr>
                <w:rFonts w:ascii="仿宋" w:hAnsi="仿宋" w:eastAsia="仿宋"/>
                <w:sz w:val="24"/>
              </w:rPr>
            </w:pPr>
            <w:r>
              <w:rPr>
                <w:rFonts w:ascii="仿宋" w:hAnsi="仿宋" w:eastAsia="仿宋"/>
                <w:sz w:val="24"/>
              </w:rPr>
              <w:t>4</w:t>
            </w:r>
          </w:p>
        </w:tc>
        <w:tc>
          <w:tcPr>
            <w:tcW w:w="1537" w:type="dxa"/>
            <w:vAlign w:val="center"/>
          </w:tcPr>
          <w:p>
            <w:pPr>
              <w:spacing w:line="360" w:lineRule="exact"/>
              <w:rPr>
                <w:rFonts w:ascii="仿宋" w:hAnsi="仿宋" w:eastAsia="仿宋"/>
                <w:sz w:val="24"/>
              </w:rPr>
            </w:pPr>
            <w:r>
              <w:rPr>
                <w:rFonts w:ascii="仿宋" w:hAnsi="仿宋" w:eastAsia="仿宋"/>
                <w:sz w:val="24"/>
              </w:rPr>
              <w:t>剩余信息保护</w:t>
            </w:r>
          </w:p>
        </w:tc>
        <w:tc>
          <w:tcPr>
            <w:tcW w:w="6197" w:type="dxa"/>
            <w:vAlign w:val="center"/>
          </w:tcPr>
          <w:p>
            <w:pPr>
              <w:spacing w:line="360" w:lineRule="exact"/>
              <w:rPr>
                <w:rFonts w:ascii="仿宋" w:hAnsi="仿宋" w:eastAsia="仿宋"/>
                <w:sz w:val="24"/>
              </w:rPr>
            </w:pPr>
            <w:r>
              <w:rPr>
                <w:rFonts w:ascii="仿宋" w:hAnsi="仿宋" w:eastAsia="仿宋"/>
                <w:sz w:val="24"/>
              </w:rPr>
              <w:t>检查服务器鉴别信息的存储空间，被释放或再分配给其他用户前得到完全清除。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106" w:hRule="atLeast"/>
        </w:trPr>
        <w:tc>
          <w:tcPr>
            <w:tcW w:w="634" w:type="dxa"/>
            <w:vAlign w:val="center"/>
          </w:tcPr>
          <w:p>
            <w:pPr>
              <w:spacing w:line="360" w:lineRule="exact"/>
              <w:rPr>
                <w:rFonts w:ascii="仿宋" w:hAnsi="仿宋" w:eastAsia="仿宋"/>
                <w:sz w:val="24"/>
              </w:rPr>
            </w:pPr>
            <w:r>
              <w:rPr>
                <w:rFonts w:ascii="仿宋" w:hAnsi="仿宋" w:eastAsia="仿宋"/>
                <w:sz w:val="24"/>
              </w:rPr>
              <w:t>5</w:t>
            </w:r>
          </w:p>
        </w:tc>
        <w:tc>
          <w:tcPr>
            <w:tcW w:w="1537" w:type="dxa"/>
            <w:vAlign w:val="center"/>
          </w:tcPr>
          <w:p>
            <w:pPr>
              <w:spacing w:line="360" w:lineRule="exact"/>
              <w:rPr>
                <w:rFonts w:ascii="仿宋" w:hAnsi="仿宋" w:eastAsia="仿宋"/>
                <w:sz w:val="24"/>
              </w:rPr>
            </w:pPr>
            <w:r>
              <w:rPr>
                <w:rFonts w:ascii="仿宋" w:hAnsi="仿宋" w:eastAsia="仿宋"/>
                <w:sz w:val="24"/>
              </w:rPr>
              <w:t>入侵防</w:t>
            </w:r>
            <w:r>
              <w:rPr>
                <w:rFonts w:hint="eastAsia" w:ascii="仿宋" w:hAnsi="仿宋" w:eastAsia="仿宋"/>
                <w:sz w:val="24"/>
              </w:rPr>
              <w:t>范</w:t>
            </w:r>
          </w:p>
        </w:tc>
        <w:tc>
          <w:tcPr>
            <w:tcW w:w="6197" w:type="dxa"/>
            <w:vAlign w:val="center"/>
          </w:tcPr>
          <w:p>
            <w:pPr>
              <w:spacing w:line="360" w:lineRule="exact"/>
              <w:rPr>
                <w:rFonts w:ascii="仿宋" w:hAnsi="仿宋" w:eastAsia="仿宋"/>
                <w:sz w:val="24"/>
              </w:rPr>
            </w:pPr>
            <w:r>
              <w:rPr>
                <w:rFonts w:ascii="仿宋" w:hAnsi="仿宋" w:eastAsia="仿宋"/>
                <w:sz w:val="24"/>
              </w:rPr>
              <w:t>检查服务器在运行过程中的入侵防范措施，如关闭不需要的端口和服务、最小化安装、部署入侵防范产品等。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spacing w:line="360" w:lineRule="exact"/>
              <w:rPr>
                <w:rFonts w:ascii="仿宋" w:hAnsi="仿宋" w:eastAsia="仿宋"/>
                <w:sz w:val="24"/>
              </w:rPr>
            </w:pPr>
            <w:r>
              <w:rPr>
                <w:rFonts w:ascii="仿宋" w:hAnsi="仿宋" w:eastAsia="仿宋"/>
                <w:sz w:val="24"/>
              </w:rPr>
              <w:t>6</w:t>
            </w:r>
          </w:p>
        </w:tc>
        <w:tc>
          <w:tcPr>
            <w:tcW w:w="1537" w:type="dxa"/>
            <w:vAlign w:val="center"/>
          </w:tcPr>
          <w:p>
            <w:pPr>
              <w:spacing w:line="360" w:lineRule="exact"/>
              <w:rPr>
                <w:rFonts w:ascii="仿宋" w:hAnsi="仿宋" w:eastAsia="仿宋"/>
                <w:sz w:val="24"/>
              </w:rPr>
            </w:pPr>
            <w:r>
              <w:rPr>
                <w:rFonts w:ascii="仿宋" w:hAnsi="仿宋" w:eastAsia="仿宋"/>
                <w:sz w:val="24"/>
              </w:rPr>
              <w:t>恶意代码防范</w:t>
            </w:r>
          </w:p>
        </w:tc>
        <w:tc>
          <w:tcPr>
            <w:tcW w:w="6197" w:type="dxa"/>
            <w:vAlign w:val="center"/>
          </w:tcPr>
          <w:p>
            <w:pPr>
              <w:spacing w:line="360" w:lineRule="exact"/>
              <w:rPr>
                <w:rFonts w:ascii="仿宋" w:hAnsi="仿宋" w:eastAsia="仿宋"/>
                <w:sz w:val="24"/>
              </w:rPr>
            </w:pPr>
            <w:r>
              <w:rPr>
                <w:rFonts w:ascii="仿宋" w:hAnsi="仿宋" w:eastAsia="仿宋"/>
                <w:sz w:val="24"/>
              </w:rPr>
              <w:t>检查服务器的恶意代码防范情况。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spacing w:line="360" w:lineRule="exact"/>
              <w:rPr>
                <w:rFonts w:ascii="仿宋" w:hAnsi="仿宋" w:eastAsia="仿宋"/>
                <w:sz w:val="24"/>
              </w:rPr>
            </w:pPr>
            <w:r>
              <w:rPr>
                <w:rFonts w:ascii="仿宋" w:hAnsi="仿宋" w:eastAsia="仿宋"/>
                <w:sz w:val="24"/>
              </w:rPr>
              <w:t>7</w:t>
            </w:r>
          </w:p>
        </w:tc>
        <w:tc>
          <w:tcPr>
            <w:tcW w:w="1537" w:type="dxa"/>
            <w:vAlign w:val="center"/>
          </w:tcPr>
          <w:p>
            <w:pPr>
              <w:spacing w:line="360" w:lineRule="exact"/>
              <w:rPr>
                <w:rFonts w:ascii="仿宋" w:hAnsi="仿宋" w:eastAsia="仿宋"/>
                <w:sz w:val="24"/>
              </w:rPr>
            </w:pPr>
            <w:r>
              <w:rPr>
                <w:rFonts w:ascii="仿宋" w:hAnsi="仿宋" w:eastAsia="仿宋"/>
                <w:sz w:val="24"/>
              </w:rPr>
              <w:t>资源控制</w:t>
            </w:r>
          </w:p>
        </w:tc>
        <w:tc>
          <w:tcPr>
            <w:tcW w:w="6197" w:type="dxa"/>
            <w:vAlign w:val="center"/>
          </w:tcPr>
          <w:p>
            <w:pPr>
              <w:spacing w:line="360" w:lineRule="exact"/>
              <w:rPr>
                <w:rFonts w:ascii="仿宋" w:hAnsi="仿宋" w:eastAsia="仿宋"/>
                <w:sz w:val="24"/>
              </w:rPr>
            </w:pPr>
            <w:r>
              <w:rPr>
                <w:rFonts w:ascii="仿宋" w:hAnsi="仿宋" w:eastAsia="仿宋"/>
                <w:sz w:val="24"/>
              </w:rPr>
              <w:t>检查服务器对单个用户的登录方式、网络地址范围、会话数量等的限制情况。</w:t>
            </w:r>
          </w:p>
        </w:tc>
      </w:tr>
    </w:tbl>
    <w:p>
      <w:pPr>
        <w:spacing w:line="480" w:lineRule="exact"/>
        <w:rPr>
          <w:rFonts w:ascii="仿宋" w:hAnsi="仿宋" w:eastAsia="仿宋"/>
          <w:sz w:val="24"/>
        </w:rPr>
      </w:pPr>
      <w:bookmarkStart w:id="16" w:name="_Toc230747275"/>
      <w:bookmarkStart w:id="17" w:name="_Toc183323078"/>
      <w:bookmarkStart w:id="18" w:name="_Toc278964498"/>
      <w:bookmarkStart w:id="19" w:name="_Toc182638548"/>
      <w:r>
        <w:rPr>
          <w:rFonts w:ascii="仿宋" w:hAnsi="仿宋" w:eastAsia="仿宋"/>
          <w:sz w:val="24"/>
        </w:rPr>
        <w:t>应用系统安全</w:t>
      </w:r>
      <w:bookmarkEnd w:id="16"/>
      <w:bookmarkEnd w:id="17"/>
      <w:bookmarkEnd w:id="18"/>
      <w:bookmarkEnd w:id="19"/>
    </w:p>
    <w:p>
      <w:pPr>
        <w:spacing w:line="480" w:lineRule="exact"/>
        <w:ind w:firstLine="480" w:firstLineChars="200"/>
        <w:rPr>
          <w:rFonts w:ascii="仿宋" w:hAnsi="仿宋" w:eastAsia="仿宋"/>
          <w:sz w:val="24"/>
        </w:rPr>
      </w:pPr>
      <w:r>
        <w:rPr>
          <w:rFonts w:ascii="仿宋" w:hAnsi="仿宋" w:eastAsia="仿宋"/>
          <w:sz w:val="24"/>
        </w:rPr>
        <w:t>应用安全测评将通过访谈、检查和测试的方式评测信息系统的应用安全保障情况。在内容上，应用安全层面测评实施过程涉及9个工作单元，具体如下表：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34"/>
        <w:gridCol w:w="1414"/>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71" w:hRule="atLeast"/>
        </w:trPr>
        <w:tc>
          <w:tcPr>
            <w:tcW w:w="634"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414"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320"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1</w:t>
            </w:r>
          </w:p>
        </w:tc>
        <w:tc>
          <w:tcPr>
            <w:tcW w:w="1414" w:type="dxa"/>
            <w:vAlign w:val="center"/>
          </w:tcPr>
          <w:p>
            <w:pPr>
              <w:rPr>
                <w:rFonts w:ascii="仿宋" w:hAnsi="仿宋" w:eastAsia="仿宋"/>
                <w:sz w:val="24"/>
              </w:rPr>
            </w:pPr>
            <w:r>
              <w:rPr>
                <w:rFonts w:ascii="仿宋" w:hAnsi="仿宋" w:eastAsia="仿宋"/>
                <w:sz w:val="24"/>
              </w:rPr>
              <w:t>身份鉴别</w:t>
            </w:r>
          </w:p>
        </w:tc>
        <w:tc>
          <w:tcPr>
            <w:tcW w:w="6320" w:type="dxa"/>
            <w:vAlign w:val="center"/>
          </w:tcPr>
          <w:p>
            <w:pPr>
              <w:rPr>
                <w:rFonts w:ascii="仿宋" w:hAnsi="仿宋" w:eastAsia="仿宋"/>
                <w:sz w:val="24"/>
              </w:rPr>
            </w:pPr>
            <w:r>
              <w:rPr>
                <w:rFonts w:ascii="仿宋" w:hAnsi="仿宋" w:eastAsia="仿宋"/>
                <w:sz w:val="24"/>
              </w:rPr>
              <w:t>检查应用系统的身份标识与鉴别功能设置和使用配置情况；</w:t>
            </w:r>
          </w:p>
          <w:p>
            <w:pPr>
              <w:rPr>
                <w:rFonts w:ascii="仿宋" w:hAnsi="仿宋" w:eastAsia="仿宋"/>
                <w:sz w:val="24"/>
              </w:rPr>
            </w:pPr>
            <w:r>
              <w:rPr>
                <w:rFonts w:ascii="仿宋" w:hAnsi="仿宋" w:eastAsia="仿宋"/>
                <w:sz w:val="24"/>
              </w:rPr>
              <w:t>检查应用系统对用户登录各种情况的处理，如登录失败处理、登录连接超时等。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2</w:t>
            </w:r>
          </w:p>
        </w:tc>
        <w:tc>
          <w:tcPr>
            <w:tcW w:w="1414" w:type="dxa"/>
            <w:vAlign w:val="center"/>
          </w:tcPr>
          <w:p>
            <w:pPr>
              <w:rPr>
                <w:rFonts w:ascii="仿宋" w:hAnsi="仿宋" w:eastAsia="仿宋"/>
                <w:sz w:val="24"/>
              </w:rPr>
            </w:pPr>
            <w:r>
              <w:rPr>
                <w:rFonts w:ascii="仿宋" w:hAnsi="仿宋" w:eastAsia="仿宋"/>
                <w:sz w:val="24"/>
              </w:rPr>
              <w:t>访问控制</w:t>
            </w:r>
          </w:p>
        </w:tc>
        <w:tc>
          <w:tcPr>
            <w:tcW w:w="6320" w:type="dxa"/>
            <w:vAlign w:val="center"/>
          </w:tcPr>
          <w:p>
            <w:pPr>
              <w:rPr>
                <w:rFonts w:ascii="仿宋" w:hAnsi="仿宋" w:eastAsia="仿宋"/>
                <w:sz w:val="24"/>
              </w:rPr>
            </w:pPr>
            <w:r>
              <w:rPr>
                <w:rFonts w:ascii="仿宋" w:hAnsi="仿宋" w:eastAsia="仿宋"/>
                <w:sz w:val="24"/>
              </w:rPr>
              <w:t>检查应用系统的访问控制功能设置情况，如访问控制的策略、访问控制粒度、权限设置情况等。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34" w:type="dxa"/>
            <w:vAlign w:val="center"/>
          </w:tcPr>
          <w:p>
            <w:pPr>
              <w:rPr>
                <w:rFonts w:ascii="仿宋" w:hAnsi="仿宋" w:eastAsia="仿宋"/>
                <w:sz w:val="24"/>
              </w:rPr>
            </w:pPr>
            <w:r>
              <w:rPr>
                <w:rFonts w:ascii="仿宋" w:hAnsi="仿宋" w:eastAsia="仿宋"/>
                <w:sz w:val="24"/>
              </w:rPr>
              <w:t>3</w:t>
            </w:r>
          </w:p>
        </w:tc>
        <w:tc>
          <w:tcPr>
            <w:tcW w:w="1414" w:type="dxa"/>
            <w:vAlign w:val="center"/>
          </w:tcPr>
          <w:p>
            <w:pPr>
              <w:rPr>
                <w:rFonts w:ascii="仿宋" w:hAnsi="仿宋" w:eastAsia="仿宋"/>
                <w:sz w:val="24"/>
              </w:rPr>
            </w:pPr>
            <w:r>
              <w:rPr>
                <w:rFonts w:ascii="仿宋" w:hAnsi="仿宋" w:eastAsia="仿宋"/>
                <w:sz w:val="24"/>
              </w:rPr>
              <w:t>安全审计</w:t>
            </w:r>
          </w:p>
        </w:tc>
        <w:tc>
          <w:tcPr>
            <w:tcW w:w="6320" w:type="dxa"/>
            <w:vAlign w:val="center"/>
          </w:tcPr>
          <w:p>
            <w:pPr>
              <w:rPr>
                <w:rFonts w:ascii="仿宋" w:hAnsi="仿宋" w:eastAsia="仿宋"/>
                <w:sz w:val="24"/>
              </w:rPr>
            </w:pPr>
            <w:r>
              <w:rPr>
                <w:rFonts w:ascii="仿宋" w:hAnsi="仿宋" w:eastAsia="仿宋"/>
                <w:sz w:val="24"/>
              </w:rPr>
              <w:t>检查应用系统的安全审计配置情况，如覆盖范围、记录的项目和内容等；</w:t>
            </w:r>
          </w:p>
          <w:p>
            <w:pPr>
              <w:rPr>
                <w:rFonts w:ascii="仿宋" w:hAnsi="仿宋" w:eastAsia="仿宋"/>
                <w:sz w:val="24"/>
              </w:rPr>
            </w:pPr>
            <w:r>
              <w:rPr>
                <w:rFonts w:ascii="仿宋" w:hAnsi="仿宋" w:eastAsia="仿宋"/>
                <w:sz w:val="24"/>
              </w:rPr>
              <w:t>检查应用系统安全审计进程和记录的保护情况。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4</w:t>
            </w:r>
          </w:p>
        </w:tc>
        <w:tc>
          <w:tcPr>
            <w:tcW w:w="1414" w:type="dxa"/>
            <w:vAlign w:val="center"/>
          </w:tcPr>
          <w:p>
            <w:pPr>
              <w:rPr>
                <w:rFonts w:ascii="仿宋" w:hAnsi="仿宋" w:eastAsia="仿宋"/>
                <w:sz w:val="24"/>
              </w:rPr>
            </w:pPr>
            <w:r>
              <w:rPr>
                <w:rFonts w:ascii="仿宋" w:hAnsi="仿宋" w:eastAsia="仿宋"/>
                <w:sz w:val="24"/>
              </w:rPr>
              <w:t>剩余信息保护</w:t>
            </w:r>
          </w:p>
        </w:tc>
        <w:tc>
          <w:tcPr>
            <w:tcW w:w="6320" w:type="dxa"/>
            <w:vAlign w:val="center"/>
          </w:tcPr>
          <w:p>
            <w:pPr>
              <w:rPr>
                <w:rFonts w:ascii="仿宋" w:hAnsi="仿宋" w:eastAsia="仿宋"/>
                <w:sz w:val="24"/>
              </w:rPr>
            </w:pPr>
            <w:r>
              <w:rPr>
                <w:rFonts w:ascii="仿宋" w:hAnsi="仿宋" w:eastAsia="仿宋"/>
                <w:sz w:val="24"/>
              </w:rPr>
              <w:t>检查应用系统的剩余信息保护情况，如将用户鉴别信息以及文件、目录和数据库记录等资源所在的存储空间再分配时的处理情况。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5</w:t>
            </w:r>
          </w:p>
        </w:tc>
        <w:tc>
          <w:tcPr>
            <w:tcW w:w="1414" w:type="dxa"/>
            <w:vAlign w:val="center"/>
          </w:tcPr>
          <w:p>
            <w:pPr>
              <w:rPr>
                <w:rFonts w:ascii="仿宋" w:hAnsi="仿宋" w:eastAsia="仿宋"/>
                <w:sz w:val="24"/>
              </w:rPr>
            </w:pPr>
            <w:r>
              <w:rPr>
                <w:rFonts w:ascii="仿宋" w:hAnsi="仿宋" w:eastAsia="仿宋"/>
                <w:sz w:val="24"/>
              </w:rPr>
              <w:t>通信完整性</w:t>
            </w:r>
          </w:p>
        </w:tc>
        <w:tc>
          <w:tcPr>
            <w:tcW w:w="6320" w:type="dxa"/>
            <w:vAlign w:val="center"/>
          </w:tcPr>
          <w:p>
            <w:pPr>
              <w:rPr>
                <w:rFonts w:ascii="仿宋" w:hAnsi="仿宋" w:eastAsia="仿宋"/>
                <w:sz w:val="24"/>
              </w:rPr>
            </w:pPr>
            <w:r>
              <w:rPr>
                <w:rFonts w:ascii="仿宋" w:hAnsi="仿宋" w:eastAsia="仿宋"/>
                <w:sz w:val="24"/>
              </w:rPr>
              <w:t>检查应用系统客户端和服务器端之间的通信完整性保护情况。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6</w:t>
            </w:r>
          </w:p>
        </w:tc>
        <w:tc>
          <w:tcPr>
            <w:tcW w:w="1414" w:type="dxa"/>
            <w:vAlign w:val="center"/>
          </w:tcPr>
          <w:p>
            <w:pPr>
              <w:rPr>
                <w:rFonts w:ascii="仿宋" w:hAnsi="仿宋" w:eastAsia="仿宋"/>
                <w:sz w:val="24"/>
              </w:rPr>
            </w:pPr>
            <w:r>
              <w:rPr>
                <w:rFonts w:ascii="仿宋" w:hAnsi="仿宋" w:eastAsia="仿宋"/>
                <w:sz w:val="24"/>
              </w:rPr>
              <w:t>通信保密性</w:t>
            </w:r>
          </w:p>
        </w:tc>
        <w:tc>
          <w:tcPr>
            <w:tcW w:w="6320" w:type="dxa"/>
            <w:vAlign w:val="center"/>
          </w:tcPr>
          <w:p>
            <w:pPr>
              <w:rPr>
                <w:rFonts w:ascii="仿宋" w:hAnsi="仿宋" w:eastAsia="仿宋"/>
                <w:sz w:val="24"/>
              </w:rPr>
            </w:pPr>
            <w:r>
              <w:rPr>
                <w:rFonts w:ascii="仿宋" w:hAnsi="仿宋" w:eastAsia="仿宋"/>
                <w:sz w:val="24"/>
              </w:rPr>
              <w:t>检查应用系统客户端和服务器端之间的通信保密性保护情况。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7</w:t>
            </w:r>
          </w:p>
        </w:tc>
        <w:tc>
          <w:tcPr>
            <w:tcW w:w="1414" w:type="dxa"/>
            <w:vAlign w:val="center"/>
          </w:tcPr>
          <w:p>
            <w:pPr>
              <w:rPr>
                <w:rFonts w:ascii="仿宋" w:hAnsi="仿宋" w:eastAsia="仿宋"/>
                <w:sz w:val="24"/>
              </w:rPr>
            </w:pPr>
            <w:r>
              <w:rPr>
                <w:rFonts w:ascii="仿宋" w:hAnsi="仿宋" w:eastAsia="仿宋"/>
                <w:sz w:val="24"/>
              </w:rPr>
              <w:t>抗抵赖</w:t>
            </w:r>
          </w:p>
        </w:tc>
        <w:tc>
          <w:tcPr>
            <w:tcW w:w="6320" w:type="dxa"/>
            <w:vAlign w:val="center"/>
          </w:tcPr>
          <w:p>
            <w:pPr>
              <w:rPr>
                <w:rFonts w:ascii="仿宋" w:hAnsi="仿宋" w:eastAsia="仿宋"/>
                <w:sz w:val="24"/>
              </w:rPr>
            </w:pPr>
            <w:r>
              <w:rPr>
                <w:rFonts w:ascii="仿宋" w:hAnsi="仿宋" w:eastAsia="仿宋"/>
                <w:sz w:val="24"/>
              </w:rPr>
              <w:t>检查应用系统对原发方和接收方的抗抵赖实现情况。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8</w:t>
            </w:r>
          </w:p>
        </w:tc>
        <w:tc>
          <w:tcPr>
            <w:tcW w:w="1414" w:type="dxa"/>
            <w:vAlign w:val="center"/>
          </w:tcPr>
          <w:p>
            <w:pPr>
              <w:rPr>
                <w:rFonts w:ascii="仿宋" w:hAnsi="仿宋" w:eastAsia="仿宋"/>
                <w:sz w:val="24"/>
              </w:rPr>
            </w:pPr>
            <w:r>
              <w:rPr>
                <w:rFonts w:ascii="仿宋" w:hAnsi="仿宋" w:eastAsia="仿宋"/>
                <w:sz w:val="24"/>
              </w:rPr>
              <w:t>软件容错</w:t>
            </w:r>
          </w:p>
        </w:tc>
        <w:tc>
          <w:tcPr>
            <w:tcW w:w="6320" w:type="dxa"/>
            <w:vAlign w:val="center"/>
          </w:tcPr>
          <w:p>
            <w:pPr>
              <w:rPr>
                <w:rFonts w:ascii="仿宋" w:hAnsi="仿宋" w:eastAsia="仿宋"/>
                <w:sz w:val="24"/>
              </w:rPr>
            </w:pPr>
            <w:r>
              <w:rPr>
                <w:rFonts w:ascii="仿宋" w:hAnsi="仿宋" w:eastAsia="仿宋"/>
                <w:sz w:val="24"/>
              </w:rPr>
              <w:t>检查应用系统的软件容错能力，如输入输出格式检查、自我状态监控、自我保护、回退等能力。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9</w:t>
            </w:r>
          </w:p>
        </w:tc>
        <w:tc>
          <w:tcPr>
            <w:tcW w:w="1414" w:type="dxa"/>
            <w:vAlign w:val="center"/>
          </w:tcPr>
          <w:p>
            <w:pPr>
              <w:rPr>
                <w:rFonts w:ascii="仿宋" w:hAnsi="仿宋" w:eastAsia="仿宋"/>
                <w:sz w:val="24"/>
              </w:rPr>
            </w:pPr>
            <w:r>
              <w:rPr>
                <w:rFonts w:ascii="仿宋" w:hAnsi="仿宋" w:eastAsia="仿宋"/>
                <w:sz w:val="24"/>
              </w:rPr>
              <w:t>资源控制</w:t>
            </w:r>
          </w:p>
        </w:tc>
        <w:tc>
          <w:tcPr>
            <w:tcW w:w="6320" w:type="dxa"/>
            <w:vAlign w:val="center"/>
          </w:tcPr>
          <w:p>
            <w:pPr>
              <w:rPr>
                <w:rFonts w:ascii="仿宋" w:hAnsi="仿宋" w:eastAsia="仿宋"/>
                <w:sz w:val="24"/>
              </w:rPr>
            </w:pPr>
            <w:r>
              <w:rPr>
                <w:rFonts w:ascii="仿宋" w:hAnsi="仿宋" w:eastAsia="仿宋"/>
                <w:sz w:val="24"/>
              </w:rPr>
              <w:t>检查应用系统的资源控制情况，如会话限定、用户登录限制、最大并发连接以及服务优先级设置等。</w:t>
            </w:r>
          </w:p>
        </w:tc>
      </w:tr>
    </w:tbl>
    <w:p>
      <w:pPr>
        <w:spacing w:line="480" w:lineRule="exact"/>
        <w:rPr>
          <w:rFonts w:ascii="仿宋" w:hAnsi="仿宋" w:eastAsia="仿宋"/>
          <w:sz w:val="24"/>
        </w:rPr>
      </w:pPr>
      <w:bookmarkStart w:id="20" w:name="_Toc183323079"/>
      <w:bookmarkStart w:id="21" w:name="_Toc182638549"/>
      <w:bookmarkStart w:id="22" w:name="_Toc278964499"/>
      <w:bookmarkStart w:id="23" w:name="_Toc230747276"/>
      <w:r>
        <w:rPr>
          <w:rFonts w:ascii="仿宋" w:hAnsi="仿宋" w:eastAsia="仿宋"/>
          <w:sz w:val="24"/>
        </w:rPr>
        <w:t>数据安全</w:t>
      </w:r>
      <w:bookmarkEnd w:id="20"/>
      <w:bookmarkEnd w:id="21"/>
      <w:r>
        <w:rPr>
          <w:rFonts w:ascii="仿宋" w:hAnsi="仿宋" w:eastAsia="仿宋"/>
          <w:sz w:val="24"/>
        </w:rPr>
        <w:t>及备份恢复</w:t>
      </w:r>
      <w:bookmarkEnd w:id="22"/>
      <w:bookmarkEnd w:id="23"/>
    </w:p>
    <w:p>
      <w:pPr>
        <w:spacing w:line="480" w:lineRule="exact"/>
        <w:ind w:firstLine="360" w:firstLineChars="150"/>
        <w:rPr>
          <w:rFonts w:ascii="仿宋" w:hAnsi="仿宋" w:eastAsia="仿宋"/>
          <w:sz w:val="24"/>
        </w:rPr>
      </w:pPr>
      <w:r>
        <w:rPr>
          <w:rFonts w:ascii="仿宋" w:hAnsi="仿宋" w:eastAsia="仿宋"/>
          <w:sz w:val="24"/>
        </w:rPr>
        <w:t>数据安全及备份恢复测评将通过访谈和检查的方式评测信息系统的数据安全保障情况。本次测评重点检查系统的数据在采集、传输、处理和存储过程中的安全。</w:t>
      </w:r>
    </w:p>
    <w:p>
      <w:pPr>
        <w:spacing w:line="480" w:lineRule="exact"/>
        <w:rPr>
          <w:rFonts w:ascii="仿宋" w:hAnsi="仿宋" w:eastAsia="仿宋"/>
          <w:sz w:val="24"/>
        </w:rPr>
      </w:pPr>
      <w:r>
        <w:rPr>
          <w:rFonts w:ascii="仿宋" w:hAnsi="仿宋" w:eastAsia="仿宋"/>
          <w:sz w:val="24"/>
        </w:rPr>
        <w:t>在内容上，数据安全层面测评实施过程涉及3个工作单元，具体如下表：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34"/>
        <w:gridCol w:w="1537"/>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19" w:hRule="atLeast"/>
          <w:tblHeader/>
        </w:trPr>
        <w:tc>
          <w:tcPr>
            <w:tcW w:w="634"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537"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197"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1</w:t>
            </w:r>
          </w:p>
        </w:tc>
        <w:tc>
          <w:tcPr>
            <w:tcW w:w="1537" w:type="dxa"/>
            <w:vAlign w:val="center"/>
          </w:tcPr>
          <w:p>
            <w:pPr>
              <w:rPr>
                <w:rFonts w:ascii="仿宋" w:hAnsi="仿宋" w:eastAsia="仿宋"/>
                <w:sz w:val="24"/>
              </w:rPr>
            </w:pPr>
            <w:r>
              <w:rPr>
                <w:rFonts w:ascii="仿宋" w:hAnsi="仿宋" w:eastAsia="仿宋"/>
                <w:sz w:val="24"/>
              </w:rPr>
              <w:t>数据完整性</w:t>
            </w:r>
          </w:p>
        </w:tc>
        <w:tc>
          <w:tcPr>
            <w:tcW w:w="6197" w:type="dxa"/>
            <w:vAlign w:val="center"/>
          </w:tcPr>
          <w:p>
            <w:pPr>
              <w:rPr>
                <w:rFonts w:ascii="仿宋" w:hAnsi="仿宋" w:eastAsia="仿宋"/>
                <w:sz w:val="24"/>
              </w:rPr>
            </w:pPr>
            <w:r>
              <w:rPr>
                <w:rFonts w:ascii="仿宋" w:hAnsi="仿宋" w:eastAsia="仿宋"/>
                <w:sz w:val="24"/>
              </w:rPr>
              <w:t>检查操作系统、数据库管理系统的管理数据、鉴别信息和用户数据在传输和保存过程中的完整性保护情况。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34" w:type="dxa"/>
            <w:vAlign w:val="center"/>
          </w:tcPr>
          <w:p>
            <w:pPr>
              <w:rPr>
                <w:rFonts w:ascii="仿宋" w:hAnsi="仿宋" w:eastAsia="仿宋"/>
                <w:sz w:val="24"/>
              </w:rPr>
            </w:pPr>
            <w:r>
              <w:rPr>
                <w:rFonts w:ascii="仿宋" w:hAnsi="仿宋" w:eastAsia="仿宋"/>
                <w:sz w:val="24"/>
              </w:rPr>
              <w:t>2</w:t>
            </w:r>
          </w:p>
        </w:tc>
        <w:tc>
          <w:tcPr>
            <w:tcW w:w="1537" w:type="dxa"/>
            <w:vAlign w:val="center"/>
          </w:tcPr>
          <w:p>
            <w:pPr>
              <w:rPr>
                <w:rFonts w:ascii="仿宋" w:hAnsi="仿宋" w:eastAsia="仿宋"/>
                <w:sz w:val="24"/>
              </w:rPr>
            </w:pPr>
            <w:r>
              <w:rPr>
                <w:rFonts w:ascii="仿宋" w:hAnsi="仿宋" w:eastAsia="仿宋"/>
                <w:sz w:val="24"/>
              </w:rPr>
              <w:t>数据保密性</w:t>
            </w:r>
          </w:p>
        </w:tc>
        <w:tc>
          <w:tcPr>
            <w:tcW w:w="6197" w:type="dxa"/>
            <w:vAlign w:val="center"/>
          </w:tcPr>
          <w:p>
            <w:pPr>
              <w:rPr>
                <w:rFonts w:ascii="仿宋" w:hAnsi="仿宋" w:eastAsia="仿宋"/>
                <w:sz w:val="24"/>
              </w:rPr>
            </w:pPr>
            <w:r>
              <w:rPr>
                <w:rFonts w:ascii="仿宋" w:hAnsi="仿宋" w:eastAsia="仿宋"/>
                <w:sz w:val="24"/>
              </w:rPr>
              <w:t>检查操作系统和数据库管理系统的管理数据、鉴别信息和用户数据在传输和保存过程中的保密性保护情况。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34" w:type="dxa"/>
            <w:vAlign w:val="center"/>
          </w:tcPr>
          <w:p>
            <w:pPr>
              <w:rPr>
                <w:rFonts w:ascii="仿宋" w:hAnsi="仿宋" w:eastAsia="仿宋"/>
                <w:sz w:val="24"/>
              </w:rPr>
            </w:pPr>
            <w:r>
              <w:rPr>
                <w:rFonts w:ascii="仿宋" w:hAnsi="仿宋" w:eastAsia="仿宋"/>
                <w:sz w:val="24"/>
              </w:rPr>
              <w:t>3</w:t>
            </w:r>
          </w:p>
        </w:tc>
        <w:tc>
          <w:tcPr>
            <w:tcW w:w="1537" w:type="dxa"/>
            <w:vAlign w:val="center"/>
          </w:tcPr>
          <w:p>
            <w:pPr>
              <w:rPr>
                <w:rFonts w:ascii="仿宋" w:hAnsi="仿宋" w:eastAsia="仿宋"/>
                <w:sz w:val="24"/>
              </w:rPr>
            </w:pPr>
            <w:r>
              <w:rPr>
                <w:rFonts w:ascii="仿宋" w:hAnsi="仿宋" w:eastAsia="仿宋"/>
                <w:sz w:val="24"/>
              </w:rPr>
              <w:t>安全备份和恢复</w:t>
            </w:r>
          </w:p>
        </w:tc>
        <w:tc>
          <w:tcPr>
            <w:tcW w:w="6197" w:type="dxa"/>
            <w:vAlign w:val="center"/>
          </w:tcPr>
          <w:p>
            <w:pPr>
              <w:rPr>
                <w:rFonts w:ascii="仿宋" w:hAnsi="仿宋" w:eastAsia="仿宋"/>
                <w:sz w:val="24"/>
              </w:rPr>
            </w:pPr>
            <w:r>
              <w:rPr>
                <w:rFonts w:ascii="仿宋" w:hAnsi="仿宋" w:eastAsia="仿宋"/>
                <w:sz w:val="24"/>
              </w:rPr>
              <w:t>检查信息系统的安全备份情况，如重要信息的备份、硬件和线路的冗余等。</w:t>
            </w:r>
          </w:p>
        </w:tc>
      </w:tr>
    </w:tbl>
    <w:p>
      <w:pPr>
        <w:spacing w:line="480" w:lineRule="exact"/>
        <w:rPr>
          <w:rFonts w:ascii="仿宋" w:hAnsi="仿宋" w:eastAsia="仿宋"/>
          <w:sz w:val="24"/>
        </w:rPr>
      </w:pPr>
      <w:bookmarkStart w:id="24" w:name="_Toc230747277"/>
      <w:bookmarkStart w:id="25" w:name="_Toc278964500"/>
      <w:bookmarkStart w:id="26" w:name="_Toc182390514"/>
      <w:bookmarkStart w:id="27" w:name="_Toc182638550"/>
      <w:bookmarkStart w:id="28" w:name="_Toc183323080"/>
      <w:r>
        <w:rPr>
          <w:rFonts w:ascii="仿宋" w:hAnsi="仿宋" w:eastAsia="仿宋"/>
          <w:sz w:val="24"/>
        </w:rPr>
        <w:t>安全管理制度</w:t>
      </w:r>
      <w:bookmarkEnd w:id="24"/>
      <w:bookmarkEnd w:id="25"/>
      <w:bookmarkEnd w:id="26"/>
      <w:bookmarkEnd w:id="27"/>
      <w:bookmarkEnd w:id="28"/>
    </w:p>
    <w:p>
      <w:pPr>
        <w:spacing w:line="480" w:lineRule="exact"/>
        <w:ind w:firstLine="360" w:firstLineChars="150"/>
        <w:rPr>
          <w:rFonts w:ascii="仿宋" w:hAnsi="仿宋" w:eastAsia="仿宋"/>
          <w:sz w:val="24"/>
        </w:rPr>
      </w:pPr>
      <w:r>
        <w:rPr>
          <w:rFonts w:ascii="仿宋" w:hAnsi="仿宋" w:eastAsia="仿宋"/>
          <w:sz w:val="24"/>
        </w:rPr>
        <w:t xml:space="preserve">安全管理制度测评将通过访谈和检查的形式评测安全管理制度的制定、发布、评审和修订等情况。主要涉及安全主管人员、安全管理人员、各类其它人员、各类管理制度、各类操作规程文件等对象。 </w:t>
      </w:r>
    </w:p>
    <w:p>
      <w:pPr>
        <w:spacing w:line="480" w:lineRule="exact"/>
        <w:rPr>
          <w:rFonts w:ascii="仿宋" w:hAnsi="仿宋" w:eastAsia="仿宋"/>
          <w:sz w:val="24"/>
        </w:rPr>
      </w:pPr>
      <w:r>
        <w:rPr>
          <w:rFonts w:ascii="仿宋" w:hAnsi="仿宋" w:eastAsia="仿宋"/>
          <w:sz w:val="24"/>
        </w:rPr>
        <w:t>在内容上，安全管理制度测评实施过程涉及3个工作单元，具体如下表：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46"/>
        <w:gridCol w:w="1561"/>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07" w:hRule="atLeast"/>
          <w:tblHeader/>
        </w:trPr>
        <w:tc>
          <w:tcPr>
            <w:tcW w:w="646"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561"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161"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46" w:type="dxa"/>
            <w:vAlign w:val="center"/>
          </w:tcPr>
          <w:p>
            <w:pPr>
              <w:rPr>
                <w:rFonts w:ascii="仿宋" w:hAnsi="仿宋" w:eastAsia="仿宋"/>
                <w:sz w:val="24"/>
              </w:rPr>
            </w:pPr>
            <w:r>
              <w:rPr>
                <w:rFonts w:ascii="仿宋" w:hAnsi="仿宋" w:eastAsia="仿宋"/>
                <w:sz w:val="24"/>
              </w:rPr>
              <w:t>1</w:t>
            </w:r>
          </w:p>
        </w:tc>
        <w:tc>
          <w:tcPr>
            <w:tcW w:w="1561" w:type="dxa"/>
            <w:vAlign w:val="center"/>
          </w:tcPr>
          <w:p>
            <w:pPr>
              <w:rPr>
                <w:rFonts w:ascii="仿宋" w:hAnsi="仿宋" w:eastAsia="仿宋"/>
                <w:sz w:val="24"/>
              </w:rPr>
            </w:pPr>
            <w:r>
              <w:rPr>
                <w:rFonts w:ascii="仿宋" w:hAnsi="仿宋" w:eastAsia="仿宋"/>
                <w:sz w:val="24"/>
              </w:rPr>
              <w:t>管理制度</w:t>
            </w:r>
          </w:p>
        </w:tc>
        <w:tc>
          <w:tcPr>
            <w:tcW w:w="6161" w:type="dxa"/>
            <w:vAlign w:val="center"/>
          </w:tcPr>
          <w:p>
            <w:pPr>
              <w:rPr>
                <w:rFonts w:ascii="仿宋" w:hAnsi="仿宋" w:eastAsia="仿宋"/>
                <w:sz w:val="24"/>
              </w:rPr>
            </w:pPr>
            <w:r>
              <w:rPr>
                <w:rFonts w:ascii="仿宋" w:hAnsi="仿宋" w:eastAsia="仿宋"/>
                <w:sz w:val="24"/>
              </w:rPr>
              <w:t>通过访谈安全主管，检查有关管理制度文档和重要操作规程等过程，测评信息系统管理制度在内容覆盖上是否全面、完善。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46" w:type="dxa"/>
            <w:vAlign w:val="center"/>
          </w:tcPr>
          <w:p>
            <w:pPr>
              <w:rPr>
                <w:rFonts w:ascii="仿宋" w:hAnsi="仿宋" w:eastAsia="仿宋"/>
                <w:sz w:val="24"/>
              </w:rPr>
            </w:pPr>
            <w:r>
              <w:rPr>
                <w:rFonts w:ascii="仿宋" w:hAnsi="仿宋" w:eastAsia="仿宋"/>
                <w:sz w:val="24"/>
              </w:rPr>
              <w:t>2</w:t>
            </w:r>
          </w:p>
        </w:tc>
        <w:tc>
          <w:tcPr>
            <w:tcW w:w="1561" w:type="dxa"/>
            <w:vAlign w:val="center"/>
          </w:tcPr>
          <w:p>
            <w:pPr>
              <w:rPr>
                <w:rFonts w:ascii="仿宋" w:hAnsi="仿宋" w:eastAsia="仿宋"/>
                <w:sz w:val="24"/>
              </w:rPr>
            </w:pPr>
            <w:r>
              <w:rPr>
                <w:rFonts w:ascii="仿宋" w:hAnsi="仿宋" w:eastAsia="仿宋"/>
                <w:sz w:val="24"/>
              </w:rPr>
              <w:t>制定与发布</w:t>
            </w:r>
          </w:p>
        </w:tc>
        <w:tc>
          <w:tcPr>
            <w:tcW w:w="6161" w:type="dxa"/>
            <w:vAlign w:val="center"/>
          </w:tcPr>
          <w:p>
            <w:pPr>
              <w:rPr>
                <w:rFonts w:ascii="仿宋" w:hAnsi="仿宋" w:eastAsia="仿宋"/>
                <w:sz w:val="24"/>
              </w:rPr>
            </w:pPr>
            <w:r>
              <w:rPr>
                <w:rFonts w:ascii="仿宋" w:hAnsi="仿宋" w:eastAsia="仿宋"/>
                <w:sz w:val="24"/>
              </w:rPr>
              <w:t>通过访谈安全主管，检查有关制度制定要求文档等过程，测评信息系统管理制度的制定和发布过程是否遵循一定的流程。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3</w:t>
            </w:r>
          </w:p>
        </w:tc>
        <w:tc>
          <w:tcPr>
            <w:tcW w:w="1561" w:type="dxa"/>
            <w:vAlign w:val="center"/>
          </w:tcPr>
          <w:p>
            <w:pPr>
              <w:rPr>
                <w:rFonts w:ascii="仿宋" w:hAnsi="仿宋" w:eastAsia="仿宋"/>
                <w:sz w:val="24"/>
              </w:rPr>
            </w:pPr>
            <w:r>
              <w:rPr>
                <w:rFonts w:ascii="仿宋" w:hAnsi="仿宋" w:eastAsia="仿宋"/>
                <w:sz w:val="24"/>
              </w:rPr>
              <w:t>评审和修订</w:t>
            </w:r>
          </w:p>
        </w:tc>
        <w:tc>
          <w:tcPr>
            <w:tcW w:w="6161" w:type="dxa"/>
            <w:vAlign w:val="center"/>
          </w:tcPr>
          <w:p>
            <w:pPr>
              <w:rPr>
                <w:rFonts w:ascii="仿宋" w:hAnsi="仿宋" w:eastAsia="仿宋"/>
                <w:sz w:val="24"/>
              </w:rPr>
            </w:pPr>
            <w:r>
              <w:rPr>
                <w:rFonts w:ascii="仿宋" w:hAnsi="仿宋" w:eastAsia="仿宋"/>
                <w:sz w:val="24"/>
              </w:rPr>
              <w:t>通过访谈安全主管，检查管理制度评审记录等过程，测评信息系统管理制度定期评审和修订情况。</w:t>
            </w:r>
          </w:p>
        </w:tc>
      </w:tr>
    </w:tbl>
    <w:p>
      <w:pPr>
        <w:spacing w:line="480" w:lineRule="exact"/>
        <w:rPr>
          <w:rFonts w:ascii="仿宋" w:hAnsi="仿宋" w:eastAsia="仿宋"/>
          <w:sz w:val="24"/>
        </w:rPr>
      </w:pPr>
      <w:bookmarkStart w:id="29" w:name="_Toc182390513"/>
      <w:bookmarkStart w:id="30" w:name="_Toc278964501"/>
      <w:bookmarkStart w:id="31" w:name="_Toc182638551"/>
      <w:bookmarkStart w:id="32" w:name="_Toc183323081"/>
      <w:bookmarkStart w:id="33" w:name="_Toc230747278"/>
      <w:bookmarkStart w:id="34" w:name="_Toc182390515"/>
      <w:r>
        <w:rPr>
          <w:rFonts w:ascii="仿宋" w:hAnsi="仿宋" w:eastAsia="仿宋"/>
          <w:sz w:val="24"/>
        </w:rPr>
        <w:t>安全管理机构</w:t>
      </w:r>
      <w:bookmarkEnd w:id="29"/>
      <w:bookmarkEnd w:id="30"/>
      <w:bookmarkEnd w:id="31"/>
      <w:bookmarkEnd w:id="32"/>
      <w:bookmarkEnd w:id="33"/>
    </w:p>
    <w:p>
      <w:pPr>
        <w:spacing w:line="480" w:lineRule="exact"/>
        <w:ind w:firstLine="360" w:firstLineChars="150"/>
        <w:rPr>
          <w:rFonts w:ascii="仿宋" w:hAnsi="仿宋" w:eastAsia="仿宋"/>
          <w:sz w:val="24"/>
        </w:rPr>
      </w:pPr>
      <w:r>
        <w:rPr>
          <w:rFonts w:ascii="仿宋" w:hAnsi="仿宋" w:eastAsia="仿宋"/>
          <w:sz w:val="24"/>
        </w:rPr>
        <w:t xml:space="preserve">安全管理机构测评将通过访谈和检查的形式评测安全管理机构的组成情况和机构工作组织情况。主要涉及安全主管人员、安全管理人员、相关的文件资料和工作记录等对象。 </w:t>
      </w:r>
    </w:p>
    <w:p>
      <w:pPr>
        <w:spacing w:line="480" w:lineRule="exact"/>
        <w:ind w:firstLine="360" w:firstLineChars="150"/>
        <w:rPr>
          <w:rFonts w:ascii="仿宋" w:hAnsi="仿宋" w:eastAsia="仿宋"/>
          <w:sz w:val="24"/>
        </w:rPr>
      </w:pPr>
      <w:r>
        <w:rPr>
          <w:rFonts w:ascii="仿宋" w:hAnsi="仿宋" w:eastAsia="仿宋"/>
          <w:sz w:val="24"/>
        </w:rPr>
        <w:t>在内容上，安全管理机构测评实施过程涉及5个工作单元，具体如下表：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46"/>
        <w:gridCol w:w="1567"/>
        <w:gridCol w:w="6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73" w:hRule="atLeast"/>
          <w:tblHeader/>
        </w:trPr>
        <w:tc>
          <w:tcPr>
            <w:tcW w:w="646"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567"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155"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1" w:hRule="atLeast"/>
        </w:trPr>
        <w:tc>
          <w:tcPr>
            <w:tcW w:w="646" w:type="dxa"/>
            <w:vAlign w:val="center"/>
          </w:tcPr>
          <w:p>
            <w:pPr>
              <w:rPr>
                <w:rFonts w:ascii="仿宋" w:hAnsi="仿宋" w:eastAsia="仿宋"/>
                <w:sz w:val="24"/>
              </w:rPr>
            </w:pPr>
            <w:r>
              <w:rPr>
                <w:rFonts w:ascii="仿宋" w:hAnsi="仿宋" w:eastAsia="仿宋"/>
                <w:sz w:val="24"/>
              </w:rPr>
              <w:t>1</w:t>
            </w:r>
          </w:p>
        </w:tc>
        <w:tc>
          <w:tcPr>
            <w:tcW w:w="1567" w:type="dxa"/>
            <w:vAlign w:val="center"/>
          </w:tcPr>
          <w:p>
            <w:pPr>
              <w:rPr>
                <w:rFonts w:ascii="仿宋" w:hAnsi="仿宋" w:eastAsia="仿宋"/>
                <w:sz w:val="24"/>
              </w:rPr>
            </w:pPr>
            <w:r>
              <w:rPr>
                <w:rFonts w:ascii="仿宋" w:hAnsi="仿宋" w:eastAsia="仿宋"/>
                <w:sz w:val="24"/>
              </w:rPr>
              <w:t>岗位设置</w:t>
            </w:r>
          </w:p>
        </w:tc>
        <w:tc>
          <w:tcPr>
            <w:tcW w:w="6155" w:type="dxa"/>
            <w:vAlign w:val="center"/>
          </w:tcPr>
          <w:p>
            <w:pPr>
              <w:rPr>
                <w:rFonts w:ascii="仿宋" w:hAnsi="仿宋" w:eastAsia="仿宋"/>
                <w:sz w:val="24"/>
              </w:rPr>
            </w:pPr>
            <w:r>
              <w:rPr>
                <w:rFonts w:ascii="仿宋" w:hAnsi="仿宋" w:eastAsia="仿宋"/>
                <w:sz w:val="24"/>
              </w:rPr>
              <w:t>通过访谈安全主管，检查部门/岗位职责文件，测评信息系统安全主管部门设置情况以及各岗位设置和岗位职责情况。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46" w:type="dxa"/>
            <w:vAlign w:val="center"/>
          </w:tcPr>
          <w:p>
            <w:pPr>
              <w:rPr>
                <w:rFonts w:ascii="仿宋" w:hAnsi="仿宋" w:eastAsia="仿宋"/>
                <w:sz w:val="24"/>
              </w:rPr>
            </w:pPr>
            <w:r>
              <w:rPr>
                <w:rFonts w:ascii="仿宋" w:hAnsi="仿宋" w:eastAsia="仿宋"/>
                <w:sz w:val="24"/>
              </w:rPr>
              <w:t>2</w:t>
            </w:r>
          </w:p>
        </w:tc>
        <w:tc>
          <w:tcPr>
            <w:tcW w:w="1567" w:type="dxa"/>
            <w:vAlign w:val="center"/>
          </w:tcPr>
          <w:p>
            <w:pPr>
              <w:rPr>
                <w:rFonts w:ascii="仿宋" w:hAnsi="仿宋" w:eastAsia="仿宋"/>
                <w:sz w:val="24"/>
              </w:rPr>
            </w:pPr>
            <w:r>
              <w:rPr>
                <w:rFonts w:ascii="仿宋" w:hAnsi="仿宋" w:eastAsia="仿宋"/>
                <w:sz w:val="24"/>
              </w:rPr>
              <w:t>人员配备</w:t>
            </w:r>
          </w:p>
        </w:tc>
        <w:tc>
          <w:tcPr>
            <w:tcW w:w="6155" w:type="dxa"/>
            <w:vAlign w:val="center"/>
          </w:tcPr>
          <w:p>
            <w:pPr>
              <w:rPr>
                <w:rFonts w:ascii="仿宋" w:hAnsi="仿宋" w:eastAsia="仿宋"/>
                <w:sz w:val="24"/>
              </w:rPr>
            </w:pPr>
            <w:r>
              <w:rPr>
                <w:rFonts w:ascii="仿宋" w:hAnsi="仿宋" w:eastAsia="仿宋"/>
                <w:sz w:val="24"/>
              </w:rPr>
              <w:t>通过访谈安全主管，检查人员名单等文档，测评信息系统各个岗位人员配备情况。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3</w:t>
            </w:r>
          </w:p>
        </w:tc>
        <w:tc>
          <w:tcPr>
            <w:tcW w:w="1567" w:type="dxa"/>
            <w:vAlign w:val="center"/>
          </w:tcPr>
          <w:p>
            <w:pPr>
              <w:rPr>
                <w:rFonts w:ascii="仿宋" w:hAnsi="仿宋" w:eastAsia="仿宋"/>
                <w:sz w:val="24"/>
              </w:rPr>
            </w:pPr>
            <w:r>
              <w:rPr>
                <w:rFonts w:ascii="仿宋" w:hAnsi="仿宋" w:eastAsia="仿宋"/>
                <w:sz w:val="24"/>
              </w:rPr>
              <w:t>授权和审批</w:t>
            </w:r>
          </w:p>
        </w:tc>
        <w:tc>
          <w:tcPr>
            <w:tcW w:w="6155" w:type="dxa"/>
            <w:vAlign w:val="center"/>
          </w:tcPr>
          <w:p>
            <w:pPr>
              <w:rPr>
                <w:rFonts w:ascii="仿宋" w:hAnsi="仿宋" w:eastAsia="仿宋"/>
                <w:sz w:val="24"/>
              </w:rPr>
            </w:pPr>
            <w:r>
              <w:rPr>
                <w:rFonts w:ascii="仿宋" w:hAnsi="仿宋" w:eastAsia="仿宋"/>
                <w:sz w:val="24"/>
              </w:rPr>
              <w:t>通过访谈安全主管，检查相关文档，测评信息系统对关键活动的授权和审批情况。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4</w:t>
            </w:r>
          </w:p>
        </w:tc>
        <w:tc>
          <w:tcPr>
            <w:tcW w:w="1567" w:type="dxa"/>
            <w:vAlign w:val="center"/>
          </w:tcPr>
          <w:p>
            <w:pPr>
              <w:rPr>
                <w:rFonts w:ascii="仿宋" w:hAnsi="仿宋" w:eastAsia="仿宋"/>
                <w:sz w:val="24"/>
              </w:rPr>
            </w:pPr>
            <w:r>
              <w:rPr>
                <w:rFonts w:ascii="仿宋" w:hAnsi="仿宋" w:eastAsia="仿宋"/>
                <w:sz w:val="24"/>
              </w:rPr>
              <w:t>沟通和合作</w:t>
            </w:r>
          </w:p>
        </w:tc>
        <w:tc>
          <w:tcPr>
            <w:tcW w:w="6155" w:type="dxa"/>
            <w:vAlign w:val="center"/>
          </w:tcPr>
          <w:p>
            <w:pPr>
              <w:rPr>
                <w:rFonts w:ascii="仿宋" w:hAnsi="仿宋" w:eastAsia="仿宋"/>
                <w:sz w:val="24"/>
              </w:rPr>
            </w:pPr>
            <w:r>
              <w:rPr>
                <w:rFonts w:ascii="仿宋" w:hAnsi="仿宋" w:eastAsia="仿宋"/>
                <w:sz w:val="24"/>
              </w:rPr>
              <w:t>通过访谈安全主管，检查相关文档，测评信息系统内部部门间、与外部单位间的沟通与合作情况。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5</w:t>
            </w:r>
          </w:p>
        </w:tc>
        <w:tc>
          <w:tcPr>
            <w:tcW w:w="1567" w:type="dxa"/>
            <w:vAlign w:val="center"/>
          </w:tcPr>
          <w:p>
            <w:pPr>
              <w:rPr>
                <w:rFonts w:ascii="仿宋" w:hAnsi="仿宋" w:eastAsia="仿宋"/>
                <w:sz w:val="24"/>
              </w:rPr>
            </w:pPr>
            <w:r>
              <w:rPr>
                <w:rFonts w:ascii="仿宋" w:hAnsi="仿宋" w:eastAsia="仿宋"/>
                <w:sz w:val="24"/>
              </w:rPr>
              <w:t>审核和检查</w:t>
            </w:r>
          </w:p>
        </w:tc>
        <w:tc>
          <w:tcPr>
            <w:tcW w:w="6155" w:type="dxa"/>
            <w:vAlign w:val="center"/>
          </w:tcPr>
          <w:p>
            <w:pPr>
              <w:rPr>
                <w:rFonts w:ascii="仿宋" w:hAnsi="仿宋" w:eastAsia="仿宋"/>
                <w:sz w:val="24"/>
              </w:rPr>
            </w:pPr>
            <w:r>
              <w:rPr>
                <w:rFonts w:ascii="仿宋" w:hAnsi="仿宋" w:eastAsia="仿宋"/>
                <w:sz w:val="24"/>
              </w:rPr>
              <w:t>通过访谈安全主管，检查记录文档等过程，测评信息系统安全工作的审核和检查情况。</w:t>
            </w:r>
          </w:p>
        </w:tc>
      </w:tr>
    </w:tbl>
    <w:p>
      <w:pPr>
        <w:spacing w:line="480" w:lineRule="exact"/>
        <w:rPr>
          <w:rFonts w:ascii="仿宋" w:hAnsi="仿宋" w:eastAsia="仿宋"/>
          <w:sz w:val="24"/>
        </w:rPr>
      </w:pPr>
      <w:bookmarkStart w:id="35" w:name="_Toc182638552"/>
      <w:bookmarkStart w:id="36" w:name="_Toc230747279"/>
      <w:bookmarkStart w:id="37" w:name="_Toc183323082"/>
      <w:bookmarkStart w:id="38" w:name="_Toc278964502"/>
      <w:r>
        <w:rPr>
          <w:rFonts w:ascii="仿宋" w:hAnsi="仿宋" w:eastAsia="仿宋"/>
          <w:sz w:val="24"/>
        </w:rPr>
        <w:t>人员安全管理</w:t>
      </w:r>
      <w:bookmarkEnd w:id="34"/>
      <w:bookmarkEnd w:id="35"/>
      <w:bookmarkEnd w:id="36"/>
      <w:bookmarkEnd w:id="37"/>
      <w:bookmarkEnd w:id="38"/>
    </w:p>
    <w:p>
      <w:pPr>
        <w:spacing w:line="480" w:lineRule="exact"/>
        <w:ind w:firstLine="360" w:firstLineChars="150"/>
        <w:rPr>
          <w:rFonts w:ascii="仿宋" w:hAnsi="仿宋" w:eastAsia="仿宋"/>
          <w:sz w:val="24"/>
        </w:rPr>
      </w:pPr>
      <w:r>
        <w:rPr>
          <w:rFonts w:ascii="仿宋" w:hAnsi="仿宋" w:eastAsia="仿宋"/>
          <w:sz w:val="24"/>
        </w:rPr>
        <w:t xml:space="preserve">人员安全管理测评将通过访谈和检查的形式评测机构人员安全控制方面的情况。主要涉及安全主管人员、人事管理人员、相关管理制度、相关工作记录等对象。 </w:t>
      </w:r>
    </w:p>
    <w:p>
      <w:pPr>
        <w:spacing w:line="480" w:lineRule="exact"/>
        <w:ind w:firstLine="360" w:firstLineChars="150"/>
        <w:rPr>
          <w:rFonts w:ascii="仿宋" w:hAnsi="仿宋" w:eastAsia="仿宋"/>
          <w:sz w:val="24"/>
        </w:rPr>
      </w:pPr>
      <w:r>
        <w:rPr>
          <w:rFonts w:ascii="仿宋" w:hAnsi="仿宋" w:eastAsia="仿宋"/>
          <w:sz w:val="24"/>
        </w:rPr>
        <w:t>在内容上，人员安全管理测评实施过程涉及5个工作单元，具体如下表：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47"/>
        <w:gridCol w:w="1747"/>
        <w:gridCol w:w="5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04" w:hRule="atLeast"/>
          <w:tblHeader/>
        </w:trPr>
        <w:tc>
          <w:tcPr>
            <w:tcW w:w="647"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747"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5974"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47" w:type="dxa"/>
            <w:vAlign w:val="center"/>
          </w:tcPr>
          <w:p>
            <w:pPr>
              <w:rPr>
                <w:rFonts w:ascii="仿宋" w:hAnsi="仿宋" w:eastAsia="仿宋"/>
                <w:sz w:val="24"/>
              </w:rPr>
            </w:pPr>
            <w:r>
              <w:rPr>
                <w:rFonts w:ascii="仿宋" w:hAnsi="仿宋" w:eastAsia="仿宋"/>
                <w:sz w:val="24"/>
              </w:rPr>
              <w:t>1</w:t>
            </w:r>
          </w:p>
        </w:tc>
        <w:tc>
          <w:tcPr>
            <w:tcW w:w="1747" w:type="dxa"/>
            <w:vAlign w:val="center"/>
          </w:tcPr>
          <w:p>
            <w:pPr>
              <w:rPr>
                <w:rFonts w:ascii="仿宋" w:hAnsi="仿宋" w:eastAsia="仿宋"/>
                <w:sz w:val="24"/>
              </w:rPr>
            </w:pPr>
            <w:r>
              <w:rPr>
                <w:rFonts w:ascii="仿宋" w:hAnsi="仿宋" w:eastAsia="仿宋"/>
                <w:sz w:val="24"/>
              </w:rPr>
              <w:t>人员录用</w:t>
            </w:r>
          </w:p>
        </w:tc>
        <w:tc>
          <w:tcPr>
            <w:tcW w:w="5974" w:type="dxa"/>
            <w:vAlign w:val="center"/>
          </w:tcPr>
          <w:p>
            <w:pPr>
              <w:rPr>
                <w:rFonts w:ascii="仿宋" w:hAnsi="仿宋" w:eastAsia="仿宋"/>
                <w:sz w:val="24"/>
              </w:rPr>
            </w:pPr>
            <w:r>
              <w:rPr>
                <w:rFonts w:ascii="仿宋" w:hAnsi="仿宋" w:eastAsia="仿宋"/>
                <w:sz w:val="24"/>
              </w:rPr>
              <w:t>通过访谈人事负责人，检查人员录用文档等过程，测评信息系统录用人员时是否对人员提出要求以及是否对其进行各种审查和考核。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47" w:type="dxa"/>
            <w:vAlign w:val="center"/>
          </w:tcPr>
          <w:p>
            <w:pPr>
              <w:rPr>
                <w:rFonts w:ascii="仿宋" w:hAnsi="仿宋" w:eastAsia="仿宋"/>
                <w:sz w:val="24"/>
              </w:rPr>
            </w:pPr>
            <w:r>
              <w:rPr>
                <w:rFonts w:ascii="仿宋" w:hAnsi="仿宋" w:eastAsia="仿宋"/>
                <w:sz w:val="24"/>
              </w:rPr>
              <w:t>2</w:t>
            </w:r>
          </w:p>
        </w:tc>
        <w:tc>
          <w:tcPr>
            <w:tcW w:w="1747" w:type="dxa"/>
            <w:vAlign w:val="center"/>
          </w:tcPr>
          <w:p>
            <w:pPr>
              <w:rPr>
                <w:rFonts w:ascii="仿宋" w:hAnsi="仿宋" w:eastAsia="仿宋"/>
                <w:sz w:val="24"/>
              </w:rPr>
            </w:pPr>
            <w:r>
              <w:rPr>
                <w:rFonts w:ascii="仿宋" w:hAnsi="仿宋" w:eastAsia="仿宋"/>
                <w:sz w:val="24"/>
              </w:rPr>
              <w:t>人员离岗</w:t>
            </w:r>
          </w:p>
        </w:tc>
        <w:tc>
          <w:tcPr>
            <w:tcW w:w="5974" w:type="dxa"/>
            <w:vAlign w:val="center"/>
          </w:tcPr>
          <w:p>
            <w:pPr>
              <w:rPr>
                <w:rFonts w:ascii="仿宋" w:hAnsi="仿宋" w:eastAsia="仿宋"/>
                <w:sz w:val="24"/>
              </w:rPr>
            </w:pPr>
            <w:r>
              <w:rPr>
                <w:rFonts w:ascii="仿宋" w:hAnsi="仿宋" w:eastAsia="仿宋"/>
                <w:sz w:val="24"/>
              </w:rPr>
              <w:t>通过访谈人事负责人，检查人员离岗安全处理记录等过程，测评信息系统人员离岗时是否按照一定的手续办理。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7" w:type="dxa"/>
            <w:vAlign w:val="center"/>
          </w:tcPr>
          <w:p>
            <w:pPr>
              <w:rPr>
                <w:rFonts w:ascii="仿宋" w:hAnsi="仿宋" w:eastAsia="仿宋"/>
                <w:sz w:val="24"/>
              </w:rPr>
            </w:pPr>
            <w:r>
              <w:rPr>
                <w:rFonts w:ascii="仿宋" w:hAnsi="仿宋" w:eastAsia="仿宋"/>
                <w:sz w:val="24"/>
              </w:rPr>
              <w:t>3</w:t>
            </w:r>
          </w:p>
        </w:tc>
        <w:tc>
          <w:tcPr>
            <w:tcW w:w="1747" w:type="dxa"/>
            <w:vAlign w:val="center"/>
          </w:tcPr>
          <w:p>
            <w:pPr>
              <w:rPr>
                <w:rFonts w:ascii="仿宋" w:hAnsi="仿宋" w:eastAsia="仿宋"/>
                <w:sz w:val="24"/>
              </w:rPr>
            </w:pPr>
            <w:r>
              <w:rPr>
                <w:rFonts w:ascii="仿宋" w:hAnsi="仿宋" w:eastAsia="仿宋"/>
                <w:sz w:val="24"/>
              </w:rPr>
              <w:t>人员考核</w:t>
            </w:r>
          </w:p>
        </w:tc>
        <w:tc>
          <w:tcPr>
            <w:tcW w:w="5974" w:type="dxa"/>
            <w:vAlign w:val="center"/>
          </w:tcPr>
          <w:p>
            <w:pPr>
              <w:rPr>
                <w:rFonts w:ascii="仿宋" w:hAnsi="仿宋" w:eastAsia="仿宋"/>
                <w:sz w:val="24"/>
              </w:rPr>
            </w:pPr>
            <w:r>
              <w:rPr>
                <w:rFonts w:ascii="仿宋" w:hAnsi="仿宋" w:eastAsia="仿宋"/>
                <w:sz w:val="24"/>
              </w:rPr>
              <w:t>通过访谈安全主管，检查有关考核记录等过程，测评是否对人员进行日常的业务考核和工作审查。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7" w:type="dxa"/>
            <w:vAlign w:val="center"/>
          </w:tcPr>
          <w:p>
            <w:pPr>
              <w:rPr>
                <w:rFonts w:ascii="仿宋" w:hAnsi="仿宋" w:eastAsia="仿宋"/>
                <w:sz w:val="24"/>
              </w:rPr>
            </w:pPr>
            <w:r>
              <w:rPr>
                <w:rFonts w:ascii="仿宋" w:hAnsi="仿宋" w:eastAsia="仿宋"/>
                <w:sz w:val="24"/>
              </w:rPr>
              <w:t>4</w:t>
            </w:r>
          </w:p>
        </w:tc>
        <w:tc>
          <w:tcPr>
            <w:tcW w:w="1747" w:type="dxa"/>
            <w:vAlign w:val="center"/>
          </w:tcPr>
          <w:p>
            <w:pPr>
              <w:rPr>
                <w:rFonts w:ascii="仿宋" w:hAnsi="仿宋" w:eastAsia="仿宋"/>
                <w:sz w:val="24"/>
              </w:rPr>
            </w:pPr>
            <w:r>
              <w:rPr>
                <w:rFonts w:ascii="仿宋" w:hAnsi="仿宋" w:eastAsia="仿宋"/>
                <w:sz w:val="24"/>
              </w:rPr>
              <w:t>安全意识教育和培训</w:t>
            </w:r>
          </w:p>
        </w:tc>
        <w:tc>
          <w:tcPr>
            <w:tcW w:w="5974" w:type="dxa"/>
            <w:vAlign w:val="center"/>
          </w:tcPr>
          <w:p>
            <w:pPr>
              <w:rPr>
                <w:rFonts w:ascii="仿宋" w:hAnsi="仿宋" w:eastAsia="仿宋"/>
                <w:sz w:val="24"/>
              </w:rPr>
            </w:pPr>
            <w:r>
              <w:rPr>
                <w:rFonts w:ascii="仿宋" w:hAnsi="仿宋" w:eastAsia="仿宋"/>
                <w:sz w:val="24"/>
              </w:rPr>
              <w:t>通过访谈安全主管，检查培训计划和执行记录等文档，测评是否对人员进行安全方面的教育和培训。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7" w:type="dxa"/>
            <w:vAlign w:val="center"/>
          </w:tcPr>
          <w:p>
            <w:pPr>
              <w:rPr>
                <w:rFonts w:ascii="仿宋" w:hAnsi="仿宋" w:eastAsia="仿宋"/>
                <w:sz w:val="24"/>
              </w:rPr>
            </w:pPr>
            <w:r>
              <w:rPr>
                <w:rFonts w:ascii="仿宋" w:hAnsi="仿宋" w:eastAsia="仿宋"/>
                <w:sz w:val="24"/>
              </w:rPr>
              <w:t>5</w:t>
            </w:r>
          </w:p>
        </w:tc>
        <w:tc>
          <w:tcPr>
            <w:tcW w:w="1747" w:type="dxa"/>
            <w:vAlign w:val="center"/>
          </w:tcPr>
          <w:p>
            <w:pPr>
              <w:rPr>
                <w:rFonts w:ascii="仿宋" w:hAnsi="仿宋" w:eastAsia="仿宋"/>
                <w:sz w:val="24"/>
              </w:rPr>
            </w:pPr>
            <w:r>
              <w:rPr>
                <w:rFonts w:ascii="仿宋" w:hAnsi="仿宋" w:eastAsia="仿宋"/>
                <w:sz w:val="24"/>
              </w:rPr>
              <w:t>外部人员访问管理</w:t>
            </w:r>
          </w:p>
        </w:tc>
        <w:tc>
          <w:tcPr>
            <w:tcW w:w="5974" w:type="dxa"/>
            <w:vAlign w:val="center"/>
          </w:tcPr>
          <w:p>
            <w:pPr>
              <w:rPr>
                <w:rFonts w:ascii="仿宋" w:hAnsi="仿宋" w:eastAsia="仿宋"/>
                <w:sz w:val="24"/>
              </w:rPr>
            </w:pPr>
            <w:r>
              <w:rPr>
                <w:rFonts w:ascii="仿宋" w:hAnsi="仿宋" w:eastAsia="仿宋"/>
                <w:sz w:val="24"/>
              </w:rPr>
              <w:t>通过访谈安全主管，检查有关文档等过程，测评对第三方人员访问（物理、逻辑）系统是否采取必要控制措施。</w:t>
            </w:r>
          </w:p>
        </w:tc>
      </w:tr>
    </w:tbl>
    <w:p>
      <w:pPr>
        <w:spacing w:line="480" w:lineRule="exact"/>
        <w:rPr>
          <w:rFonts w:ascii="仿宋" w:hAnsi="仿宋" w:eastAsia="仿宋"/>
          <w:sz w:val="24"/>
        </w:rPr>
      </w:pPr>
      <w:bookmarkStart w:id="39" w:name="_Toc230747280"/>
      <w:bookmarkStart w:id="40" w:name="_Toc182638553"/>
      <w:bookmarkStart w:id="41" w:name="_Toc183323083"/>
      <w:bookmarkStart w:id="42" w:name="_Toc278964503"/>
      <w:bookmarkStart w:id="43" w:name="_Toc182390516"/>
      <w:r>
        <w:rPr>
          <w:rFonts w:ascii="仿宋" w:hAnsi="仿宋" w:eastAsia="仿宋"/>
          <w:sz w:val="24"/>
        </w:rPr>
        <w:t>系统建设管理</w:t>
      </w:r>
      <w:bookmarkEnd w:id="39"/>
      <w:bookmarkEnd w:id="40"/>
      <w:bookmarkEnd w:id="41"/>
      <w:bookmarkEnd w:id="42"/>
      <w:bookmarkEnd w:id="43"/>
    </w:p>
    <w:p>
      <w:pPr>
        <w:spacing w:line="480" w:lineRule="exact"/>
        <w:ind w:firstLine="360" w:firstLineChars="150"/>
        <w:rPr>
          <w:rFonts w:ascii="仿宋" w:hAnsi="仿宋" w:eastAsia="仿宋"/>
          <w:sz w:val="24"/>
        </w:rPr>
      </w:pPr>
      <w:r>
        <w:rPr>
          <w:rFonts w:ascii="仿宋" w:hAnsi="仿宋" w:eastAsia="仿宋"/>
          <w:sz w:val="24"/>
        </w:rPr>
        <w:t xml:space="preserve">系统建设管理测评将通过访谈和检查的形式评测系统建设管理过程中的安全控制情况。主要涉及安全主管人员、系统建设负责人、各类管理制度、操作规程文件、执行过程记录等对象。 </w:t>
      </w:r>
    </w:p>
    <w:p>
      <w:pPr>
        <w:spacing w:line="480" w:lineRule="exact"/>
        <w:ind w:firstLine="360" w:firstLineChars="150"/>
        <w:rPr>
          <w:rFonts w:ascii="仿宋" w:hAnsi="仿宋" w:eastAsia="仿宋"/>
          <w:sz w:val="24"/>
        </w:rPr>
      </w:pPr>
      <w:r>
        <w:rPr>
          <w:rFonts w:ascii="仿宋" w:hAnsi="仿宋" w:eastAsia="仿宋"/>
          <w:sz w:val="24"/>
        </w:rPr>
        <w:t>在内容上，系统建设管理测评实施过程涉及</w:t>
      </w:r>
      <w:r>
        <w:rPr>
          <w:rFonts w:hint="eastAsia" w:ascii="仿宋" w:hAnsi="仿宋" w:eastAsia="仿宋"/>
          <w:sz w:val="24"/>
        </w:rPr>
        <w:t>11</w:t>
      </w:r>
      <w:r>
        <w:rPr>
          <w:rFonts w:ascii="仿宋" w:hAnsi="仿宋" w:eastAsia="仿宋"/>
          <w:sz w:val="24"/>
        </w:rPr>
        <w:t>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46"/>
        <w:gridCol w:w="1561"/>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40" w:hRule="atLeast"/>
          <w:tblHeader/>
        </w:trPr>
        <w:tc>
          <w:tcPr>
            <w:tcW w:w="646"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561"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161"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46" w:type="dxa"/>
            <w:vAlign w:val="center"/>
          </w:tcPr>
          <w:p>
            <w:pPr>
              <w:rPr>
                <w:rFonts w:ascii="仿宋" w:hAnsi="仿宋" w:eastAsia="仿宋"/>
                <w:sz w:val="24"/>
              </w:rPr>
            </w:pPr>
            <w:r>
              <w:rPr>
                <w:rFonts w:ascii="仿宋" w:hAnsi="仿宋" w:eastAsia="仿宋"/>
                <w:sz w:val="24"/>
              </w:rPr>
              <w:t>1</w:t>
            </w:r>
          </w:p>
        </w:tc>
        <w:tc>
          <w:tcPr>
            <w:tcW w:w="1561" w:type="dxa"/>
            <w:vAlign w:val="center"/>
          </w:tcPr>
          <w:p>
            <w:pPr>
              <w:rPr>
                <w:rFonts w:ascii="仿宋" w:hAnsi="仿宋" w:eastAsia="仿宋"/>
                <w:sz w:val="24"/>
              </w:rPr>
            </w:pPr>
            <w:r>
              <w:rPr>
                <w:rFonts w:ascii="仿宋" w:hAnsi="仿宋" w:eastAsia="仿宋"/>
                <w:sz w:val="24"/>
              </w:rPr>
              <w:t>系统定级</w:t>
            </w:r>
          </w:p>
        </w:tc>
        <w:tc>
          <w:tcPr>
            <w:tcW w:w="6161" w:type="dxa"/>
            <w:vAlign w:val="center"/>
          </w:tcPr>
          <w:p>
            <w:pPr>
              <w:rPr>
                <w:rFonts w:ascii="仿宋" w:hAnsi="仿宋" w:eastAsia="仿宋"/>
                <w:sz w:val="24"/>
              </w:rPr>
            </w:pPr>
            <w:r>
              <w:rPr>
                <w:rFonts w:ascii="仿宋" w:hAnsi="仿宋" w:eastAsia="仿宋"/>
                <w:sz w:val="24"/>
              </w:rPr>
              <w:t>通过访谈安全主管，检查系统定级相关文档等过程，测评是否按照一定要求确定系统的安全等级。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46" w:type="dxa"/>
            <w:vAlign w:val="center"/>
          </w:tcPr>
          <w:p>
            <w:pPr>
              <w:rPr>
                <w:rFonts w:ascii="仿宋" w:hAnsi="仿宋" w:eastAsia="仿宋"/>
                <w:sz w:val="24"/>
              </w:rPr>
            </w:pPr>
            <w:r>
              <w:rPr>
                <w:rFonts w:ascii="仿宋" w:hAnsi="仿宋" w:eastAsia="仿宋"/>
                <w:sz w:val="24"/>
              </w:rPr>
              <w:t>2</w:t>
            </w:r>
          </w:p>
        </w:tc>
        <w:tc>
          <w:tcPr>
            <w:tcW w:w="1561" w:type="dxa"/>
            <w:vAlign w:val="center"/>
          </w:tcPr>
          <w:p>
            <w:pPr>
              <w:rPr>
                <w:rFonts w:ascii="仿宋" w:hAnsi="仿宋" w:eastAsia="仿宋"/>
                <w:sz w:val="24"/>
              </w:rPr>
            </w:pPr>
            <w:r>
              <w:rPr>
                <w:rFonts w:ascii="仿宋" w:hAnsi="仿宋" w:eastAsia="仿宋"/>
                <w:sz w:val="24"/>
              </w:rPr>
              <w:t>安全方案设计</w:t>
            </w:r>
          </w:p>
        </w:tc>
        <w:tc>
          <w:tcPr>
            <w:tcW w:w="6161" w:type="dxa"/>
            <w:vAlign w:val="center"/>
          </w:tcPr>
          <w:p>
            <w:pPr>
              <w:rPr>
                <w:rFonts w:ascii="仿宋" w:hAnsi="仿宋" w:eastAsia="仿宋"/>
                <w:sz w:val="24"/>
              </w:rPr>
            </w:pPr>
            <w:r>
              <w:rPr>
                <w:rFonts w:ascii="仿宋" w:hAnsi="仿宋" w:eastAsia="仿宋"/>
                <w:sz w:val="24"/>
              </w:rPr>
              <w:t>通过访谈系统建设负责人，检查系统安全建设方案等文档，测评系统整体的安全规划设计是否按照一定流程进行。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3</w:t>
            </w:r>
          </w:p>
        </w:tc>
        <w:tc>
          <w:tcPr>
            <w:tcW w:w="1561" w:type="dxa"/>
            <w:vAlign w:val="center"/>
          </w:tcPr>
          <w:p>
            <w:pPr>
              <w:rPr>
                <w:rFonts w:ascii="仿宋" w:hAnsi="仿宋" w:eastAsia="仿宋"/>
                <w:sz w:val="24"/>
              </w:rPr>
            </w:pPr>
            <w:r>
              <w:rPr>
                <w:rFonts w:ascii="仿宋" w:hAnsi="仿宋" w:eastAsia="仿宋"/>
                <w:sz w:val="24"/>
              </w:rPr>
              <w:t>产品采购和使用</w:t>
            </w:r>
          </w:p>
        </w:tc>
        <w:tc>
          <w:tcPr>
            <w:tcW w:w="6161" w:type="dxa"/>
            <w:vAlign w:val="center"/>
          </w:tcPr>
          <w:p>
            <w:pPr>
              <w:rPr>
                <w:rFonts w:ascii="仿宋" w:hAnsi="仿宋" w:eastAsia="仿宋"/>
                <w:sz w:val="24"/>
              </w:rPr>
            </w:pPr>
            <w:r>
              <w:rPr>
                <w:rFonts w:ascii="仿宋" w:hAnsi="仿宋" w:eastAsia="仿宋"/>
                <w:sz w:val="24"/>
              </w:rPr>
              <w:t>通过访谈安全主管、系统建设负责人和安全产品等过程，测评是否按照一定的要求进行系统的产品采购。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4</w:t>
            </w:r>
          </w:p>
        </w:tc>
        <w:tc>
          <w:tcPr>
            <w:tcW w:w="1561" w:type="dxa"/>
            <w:vAlign w:val="center"/>
          </w:tcPr>
          <w:p>
            <w:pPr>
              <w:rPr>
                <w:rFonts w:ascii="仿宋" w:hAnsi="仿宋" w:eastAsia="仿宋"/>
                <w:sz w:val="24"/>
              </w:rPr>
            </w:pPr>
            <w:r>
              <w:rPr>
                <w:rFonts w:ascii="仿宋" w:hAnsi="仿宋" w:eastAsia="仿宋"/>
                <w:sz w:val="24"/>
              </w:rPr>
              <w:t>自行软件开发</w:t>
            </w:r>
          </w:p>
        </w:tc>
        <w:tc>
          <w:tcPr>
            <w:tcW w:w="6161" w:type="dxa"/>
            <w:vAlign w:val="center"/>
          </w:tcPr>
          <w:p>
            <w:pPr>
              <w:rPr>
                <w:rFonts w:ascii="仿宋" w:hAnsi="仿宋" w:eastAsia="仿宋"/>
                <w:sz w:val="24"/>
              </w:rPr>
            </w:pPr>
            <w:r>
              <w:rPr>
                <w:rFonts w:ascii="仿宋" w:hAnsi="仿宋" w:eastAsia="仿宋"/>
                <w:sz w:val="24"/>
              </w:rPr>
              <w:t>通过访谈系统建设负责人，检查相关软件开发文档等，测评自行开发的软件是否采取必要的措施保证开发过程的安全性。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5</w:t>
            </w:r>
          </w:p>
        </w:tc>
        <w:tc>
          <w:tcPr>
            <w:tcW w:w="1561" w:type="dxa"/>
            <w:vAlign w:val="center"/>
          </w:tcPr>
          <w:p>
            <w:pPr>
              <w:rPr>
                <w:rFonts w:ascii="仿宋" w:hAnsi="仿宋" w:eastAsia="仿宋"/>
                <w:sz w:val="24"/>
              </w:rPr>
            </w:pPr>
            <w:r>
              <w:rPr>
                <w:rFonts w:ascii="仿宋" w:hAnsi="仿宋" w:eastAsia="仿宋"/>
                <w:sz w:val="24"/>
              </w:rPr>
              <w:t>外包软件开发</w:t>
            </w:r>
          </w:p>
        </w:tc>
        <w:tc>
          <w:tcPr>
            <w:tcW w:w="6161" w:type="dxa"/>
            <w:vAlign w:val="center"/>
          </w:tcPr>
          <w:p>
            <w:pPr>
              <w:rPr>
                <w:rFonts w:ascii="仿宋" w:hAnsi="仿宋" w:eastAsia="仿宋"/>
                <w:sz w:val="24"/>
              </w:rPr>
            </w:pPr>
            <w:r>
              <w:rPr>
                <w:rFonts w:ascii="仿宋" w:hAnsi="仿宋" w:eastAsia="仿宋"/>
                <w:sz w:val="24"/>
              </w:rPr>
              <w:t>通过访谈系统建设负责人，检查相关文档，测评外包开发的软件是否采取必要的措施保证开发过程的安全性和日后的维护工作能够正常开展。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6</w:t>
            </w:r>
          </w:p>
        </w:tc>
        <w:tc>
          <w:tcPr>
            <w:tcW w:w="1561" w:type="dxa"/>
            <w:vAlign w:val="center"/>
          </w:tcPr>
          <w:p>
            <w:pPr>
              <w:rPr>
                <w:rFonts w:ascii="仿宋" w:hAnsi="仿宋" w:eastAsia="仿宋"/>
                <w:sz w:val="24"/>
              </w:rPr>
            </w:pPr>
            <w:r>
              <w:rPr>
                <w:rFonts w:ascii="仿宋" w:hAnsi="仿宋" w:eastAsia="仿宋"/>
                <w:sz w:val="24"/>
              </w:rPr>
              <w:t>工程实施</w:t>
            </w:r>
          </w:p>
        </w:tc>
        <w:tc>
          <w:tcPr>
            <w:tcW w:w="6161" w:type="dxa"/>
            <w:vAlign w:val="center"/>
          </w:tcPr>
          <w:p>
            <w:pPr>
              <w:rPr>
                <w:rFonts w:ascii="仿宋" w:hAnsi="仿宋" w:eastAsia="仿宋"/>
                <w:sz w:val="24"/>
              </w:rPr>
            </w:pPr>
            <w:r>
              <w:rPr>
                <w:rFonts w:ascii="仿宋" w:hAnsi="仿宋" w:eastAsia="仿宋"/>
                <w:sz w:val="24"/>
              </w:rPr>
              <w:t>通过访谈系统建设负责人，检查相关文档，测评系统建设的实施过程是否采取必要的措施使其在机构可控的范围内进行。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7</w:t>
            </w:r>
          </w:p>
        </w:tc>
        <w:tc>
          <w:tcPr>
            <w:tcW w:w="1561" w:type="dxa"/>
            <w:vAlign w:val="center"/>
          </w:tcPr>
          <w:p>
            <w:pPr>
              <w:rPr>
                <w:rFonts w:ascii="仿宋" w:hAnsi="仿宋" w:eastAsia="仿宋"/>
                <w:sz w:val="24"/>
              </w:rPr>
            </w:pPr>
            <w:r>
              <w:rPr>
                <w:rFonts w:ascii="仿宋" w:hAnsi="仿宋" w:eastAsia="仿宋"/>
                <w:sz w:val="24"/>
              </w:rPr>
              <w:t>测试验收</w:t>
            </w:r>
          </w:p>
        </w:tc>
        <w:tc>
          <w:tcPr>
            <w:tcW w:w="6161" w:type="dxa"/>
            <w:vAlign w:val="center"/>
          </w:tcPr>
          <w:p>
            <w:pPr>
              <w:rPr>
                <w:rFonts w:ascii="仿宋" w:hAnsi="仿宋" w:eastAsia="仿宋"/>
                <w:sz w:val="24"/>
              </w:rPr>
            </w:pPr>
            <w:r>
              <w:rPr>
                <w:rFonts w:ascii="仿宋" w:hAnsi="仿宋" w:eastAsia="仿宋"/>
                <w:sz w:val="24"/>
              </w:rPr>
              <w:t>通过访谈系统建设负责人，检查测试验收等相关文档，测评系统运行前是否对其进行测试验收工作。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8</w:t>
            </w:r>
          </w:p>
        </w:tc>
        <w:tc>
          <w:tcPr>
            <w:tcW w:w="1561" w:type="dxa"/>
            <w:vAlign w:val="center"/>
          </w:tcPr>
          <w:p>
            <w:pPr>
              <w:rPr>
                <w:rFonts w:ascii="仿宋" w:hAnsi="仿宋" w:eastAsia="仿宋"/>
                <w:sz w:val="24"/>
              </w:rPr>
            </w:pPr>
            <w:r>
              <w:rPr>
                <w:rFonts w:ascii="仿宋" w:hAnsi="仿宋" w:eastAsia="仿宋"/>
                <w:sz w:val="24"/>
              </w:rPr>
              <w:t>系统交付</w:t>
            </w:r>
          </w:p>
        </w:tc>
        <w:tc>
          <w:tcPr>
            <w:tcW w:w="6161" w:type="dxa"/>
            <w:vAlign w:val="center"/>
          </w:tcPr>
          <w:p>
            <w:pPr>
              <w:rPr>
                <w:rFonts w:ascii="仿宋" w:hAnsi="仿宋" w:eastAsia="仿宋"/>
                <w:sz w:val="24"/>
              </w:rPr>
            </w:pPr>
            <w:r>
              <w:rPr>
                <w:rFonts w:ascii="仿宋" w:hAnsi="仿宋" w:eastAsia="仿宋"/>
                <w:sz w:val="24"/>
              </w:rPr>
              <w:t>通过访谈系统运维负责人，检查系统交付清单等过程，测评是否采取必要的措施对系统交付过程进行有效控制。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9</w:t>
            </w:r>
          </w:p>
        </w:tc>
        <w:tc>
          <w:tcPr>
            <w:tcW w:w="1561" w:type="dxa"/>
            <w:vAlign w:val="center"/>
          </w:tcPr>
          <w:p>
            <w:pPr>
              <w:rPr>
                <w:rFonts w:ascii="仿宋" w:hAnsi="仿宋" w:eastAsia="仿宋"/>
                <w:sz w:val="24"/>
              </w:rPr>
            </w:pPr>
            <w:r>
              <w:rPr>
                <w:rFonts w:ascii="仿宋" w:hAnsi="仿宋" w:eastAsia="仿宋"/>
                <w:sz w:val="24"/>
              </w:rPr>
              <w:t>系统备案</w:t>
            </w:r>
          </w:p>
        </w:tc>
        <w:tc>
          <w:tcPr>
            <w:tcW w:w="6161" w:type="dxa"/>
            <w:vAlign w:val="center"/>
          </w:tcPr>
          <w:p>
            <w:pPr>
              <w:rPr>
                <w:rFonts w:ascii="仿宋" w:hAnsi="仿宋" w:eastAsia="仿宋"/>
                <w:sz w:val="24"/>
              </w:rPr>
            </w:pPr>
            <w:bookmarkStart w:id="44" w:name="OLE_LINK1"/>
            <w:bookmarkStart w:id="45" w:name="OLE_LINK2"/>
            <w:r>
              <w:rPr>
                <w:rFonts w:ascii="仿宋" w:hAnsi="仿宋" w:eastAsia="仿宋"/>
                <w:sz w:val="24"/>
              </w:rPr>
              <w:t>通过访谈系统运维负责人，检查系统定级和备案材料和相关工作记录，测评是否已经上报主管部门和公安机关完成备案工作</w:t>
            </w:r>
            <w:bookmarkEnd w:id="44"/>
            <w:bookmarkEnd w:id="45"/>
            <w:r>
              <w:rPr>
                <w:rFonts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10</w:t>
            </w:r>
          </w:p>
        </w:tc>
        <w:tc>
          <w:tcPr>
            <w:tcW w:w="1561" w:type="dxa"/>
            <w:vAlign w:val="center"/>
          </w:tcPr>
          <w:p>
            <w:pPr>
              <w:rPr>
                <w:rFonts w:ascii="仿宋" w:hAnsi="仿宋" w:eastAsia="仿宋"/>
                <w:sz w:val="24"/>
              </w:rPr>
            </w:pPr>
            <w:r>
              <w:rPr>
                <w:rFonts w:ascii="仿宋" w:hAnsi="仿宋" w:eastAsia="仿宋"/>
                <w:sz w:val="24"/>
              </w:rPr>
              <w:t>等级测评</w:t>
            </w:r>
          </w:p>
        </w:tc>
        <w:tc>
          <w:tcPr>
            <w:tcW w:w="6161" w:type="dxa"/>
            <w:vAlign w:val="center"/>
          </w:tcPr>
          <w:p>
            <w:pPr>
              <w:rPr>
                <w:rFonts w:ascii="仿宋" w:hAnsi="仿宋" w:eastAsia="仿宋"/>
                <w:sz w:val="24"/>
              </w:rPr>
            </w:pPr>
            <w:r>
              <w:rPr>
                <w:rFonts w:ascii="仿宋" w:hAnsi="仿宋" w:eastAsia="仿宋"/>
                <w:sz w:val="24"/>
              </w:rPr>
              <w:t>通过访谈系统运维负责人，检查测评报告和整改记录，测评是否依据国家要求完成等级测评和整改工作。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88" w:hRule="atLeast"/>
        </w:trPr>
        <w:tc>
          <w:tcPr>
            <w:tcW w:w="646" w:type="dxa"/>
            <w:vAlign w:val="center"/>
          </w:tcPr>
          <w:p>
            <w:pPr>
              <w:rPr>
                <w:rFonts w:ascii="仿宋" w:hAnsi="仿宋" w:eastAsia="仿宋"/>
                <w:sz w:val="24"/>
              </w:rPr>
            </w:pPr>
            <w:r>
              <w:rPr>
                <w:rFonts w:ascii="仿宋" w:hAnsi="仿宋" w:eastAsia="仿宋"/>
                <w:sz w:val="24"/>
              </w:rPr>
              <w:t>11</w:t>
            </w:r>
          </w:p>
        </w:tc>
        <w:tc>
          <w:tcPr>
            <w:tcW w:w="1561" w:type="dxa"/>
            <w:vAlign w:val="center"/>
          </w:tcPr>
          <w:p>
            <w:pPr>
              <w:rPr>
                <w:rFonts w:ascii="仿宋" w:hAnsi="仿宋" w:eastAsia="仿宋"/>
                <w:sz w:val="24"/>
              </w:rPr>
            </w:pPr>
            <w:r>
              <w:rPr>
                <w:rFonts w:ascii="仿宋" w:hAnsi="仿宋" w:eastAsia="仿宋"/>
                <w:sz w:val="24"/>
              </w:rPr>
              <w:t>安全服务商选择</w:t>
            </w:r>
          </w:p>
        </w:tc>
        <w:tc>
          <w:tcPr>
            <w:tcW w:w="6161" w:type="dxa"/>
            <w:vAlign w:val="center"/>
          </w:tcPr>
          <w:p>
            <w:pPr>
              <w:rPr>
                <w:rFonts w:ascii="仿宋" w:hAnsi="仿宋" w:eastAsia="仿宋"/>
                <w:sz w:val="24"/>
              </w:rPr>
            </w:pPr>
            <w:r>
              <w:rPr>
                <w:rFonts w:ascii="仿宋" w:hAnsi="仿宋" w:eastAsia="仿宋"/>
                <w:sz w:val="24"/>
              </w:rPr>
              <w:t>通过访谈系统运维负责人，测评是否选择符合国家有关规定的安全服务单位进行相关的安全服务工作。</w:t>
            </w:r>
          </w:p>
        </w:tc>
      </w:tr>
    </w:tbl>
    <w:p>
      <w:pPr>
        <w:spacing w:line="480" w:lineRule="exact"/>
        <w:rPr>
          <w:rFonts w:ascii="仿宋" w:hAnsi="仿宋" w:eastAsia="仿宋"/>
          <w:sz w:val="24"/>
        </w:rPr>
      </w:pPr>
      <w:bookmarkStart w:id="46" w:name="_Toc230747281"/>
      <w:bookmarkStart w:id="47" w:name="_Toc182390517"/>
      <w:bookmarkStart w:id="48" w:name="_Toc278964504"/>
      <w:bookmarkStart w:id="49" w:name="_Toc183323084"/>
      <w:bookmarkStart w:id="50" w:name="_Toc182638554"/>
      <w:r>
        <w:rPr>
          <w:rFonts w:ascii="仿宋" w:hAnsi="仿宋" w:eastAsia="仿宋"/>
          <w:sz w:val="24"/>
        </w:rPr>
        <w:t>系统运维管理</w:t>
      </w:r>
      <w:bookmarkEnd w:id="46"/>
      <w:bookmarkEnd w:id="47"/>
      <w:bookmarkEnd w:id="48"/>
      <w:bookmarkEnd w:id="49"/>
      <w:bookmarkEnd w:id="50"/>
    </w:p>
    <w:p>
      <w:pPr>
        <w:spacing w:line="480" w:lineRule="exact"/>
        <w:ind w:firstLine="360" w:firstLineChars="150"/>
        <w:rPr>
          <w:rFonts w:ascii="仿宋" w:hAnsi="仿宋" w:eastAsia="仿宋"/>
          <w:sz w:val="24"/>
        </w:rPr>
      </w:pPr>
      <w:r>
        <w:rPr>
          <w:rFonts w:ascii="仿宋" w:hAnsi="仿宋" w:eastAsia="仿宋"/>
          <w:sz w:val="24"/>
        </w:rPr>
        <w:t xml:space="preserve">系统运维管理测评将通过访谈和检查的形式评测系统运维管理过程中的安全控制情况。主要涉及安全主管人员、安全管理人员、各类运维人员、各类管理制度、操作规程文件、执行过程记录等对象。 </w:t>
      </w:r>
    </w:p>
    <w:p>
      <w:pPr>
        <w:spacing w:line="480" w:lineRule="exact"/>
        <w:ind w:firstLine="360" w:firstLineChars="150"/>
        <w:rPr>
          <w:rFonts w:ascii="仿宋" w:hAnsi="仿宋" w:eastAsia="仿宋"/>
          <w:sz w:val="24"/>
        </w:rPr>
      </w:pPr>
      <w:r>
        <w:rPr>
          <w:rFonts w:ascii="仿宋" w:hAnsi="仿宋" w:eastAsia="仿宋"/>
          <w:sz w:val="24"/>
        </w:rPr>
        <w:t>在内容上，系统运维管理测评实施过程涉及13个工作单元，具体如下表：</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650"/>
        <w:gridCol w:w="1557"/>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74" w:hRule="atLeast"/>
          <w:tblHeader/>
        </w:trPr>
        <w:tc>
          <w:tcPr>
            <w:tcW w:w="650" w:type="dxa"/>
            <w:shd w:val="clear" w:color="auto" w:fill="F3F3F3"/>
            <w:vAlign w:val="center"/>
          </w:tcPr>
          <w:p>
            <w:pPr>
              <w:jc w:val="center"/>
              <w:rPr>
                <w:rFonts w:ascii="仿宋" w:hAnsi="仿宋" w:eastAsia="仿宋"/>
                <w:b/>
                <w:sz w:val="24"/>
              </w:rPr>
            </w:pPr>
            <w:r>
              <w:rPr>
                <w:rFonts w:ascii="仿宋" w:hAnsi="仿宋" w:eastAsia="仿宋"/>
                <w:b/>
                <w:sz w:val="24"/>
              </w:rPr>
              <w:t>序号</w:t>
            </w:r>
          </w:p>
        </w:tc>
        <w:tc>
          <w:tcPr>
            <w:tcW w:w="1557" w:type="dxa"/>
            <w:shd w:val="clear" w:color="auto" w:fill="F3F3F3"/>
            <w:vAlign w:val="center"/>
          </w:tcPr>
          <w:p>
            <w:pPr>
              <w:jc w:val="center"/>
              <w:rPr>
                <w:rFonts w:ascii="仿宋" w:hAnsi="仿宋" w:eastAsia="仿宋"/>
                <w:b/>
                <w:sz w:val="24"/>
              </w:rPr>
            </w:pPr>
            <w:r>
              <w:rPr>
                <w:rFonts w:ascii="仿宋" w:hAnsi="仿宋" w:eastAsia="仿宋"/>
                <w:b/>
                <w:sz w:val="24"/>
              </w:rPr>
              <w:t>工作单元名称</w:t>
            </w:r>
          </w:p>
        </w:tc>
        <w:tc>
          <w:tcPr>
            <w:tcW w:w="6161" w:type="dxa"/>
            <w:shd w:val="clear" w:color="auto" w:fill="F3F3F3"/>
            <w:vAlign w:val="center"/>
          </w:tcPr>
          <w:p>
            <w:pPr>
              <w:jc w:val="center"/>
              <w:rPr>
                <w:rFonts w:ascii="仿宋" w:hAnsi="仿宋" w:eastAsia="仿宋"/>
                <w:b/>
                <w:sz w:val="24"/>
              </w:rPr>
            </w:pPr>
            <w:r>
              <w:rPr>
                <w:rFonts w:ascii="仿宋" w:hAnsi="仿宋" w:eastAsia="仿宋"/>
                <w:b/>
                <w:sz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vAlign w:val="center"/>
          </w:tcPr>
          <w:p>
            <w:pPr>
              <w:rPr>
                <w:rFonts w:ascii="仿宋" w:hAnsi="仿宋" w:eastAsia="仿宋"/>
                <w:sz w:val="24"/>
              </w:rPr>
            </w:pPr>
            <w:r>
              <w:rPr>
                <w:rFonts w:ascii="仿宋" w:hAnsi="仿宋" w:eastAsia="仿宋"/>
                <w:sz w:val="24"/>
              </w:rPr>
              <w:t>1</w:t>
            </w:r>
          </w:p>
        </w:tc>
        <w:tc>
          <w:tcPr>
            <w:tcW w:w="1557" w:type="dxa"/>
            <w:vAlign w:val="center"/>
          </w:tcPr>
          <w:p>
            <w:pPr>
              <w:rPr>
                <w:rFonts w:ascii="仿宋" w:hAnsi="仿宋" w:eastAsia="仿宋"/>
                <w:sz w:val="24"/>
              </w:rPr>
            </w:pPr>
            <w:r>
              <w:rPr>
                <w:rFonts w:ascii="仿宋" w:hAnsi="仿宋" w:eastAsia="仿宋"/>
                <w:sz w:val="24"/>
              </w:rPr>
              <w:t>环境管理</w:t>
            </w:r>
          </w:p>
        </w:tc>
        <w:tc>
          <w:tcPr>
            <w:tcW w:w="6161" w:type="dxa"/>
            <w:vAlign w:val="center"/>
          </w:tcPr>
          <w:p>
            <w:pPr>
              <w:rPr>
                <w:rFonts w:ascii="仿宋" w:hAnsi="仿宋" w:eastAsia="仿宋"/>
                <w:sz w:val="24"/>
              </w:rPr>
            </w:pPr>
            <w:r>
              <w:rPr>
                <w:rFonts w:ascii="仿宋" w:hAnsi="仿宋" w:eastAsia="仿宋"/>
                <w:sz w:val="24"/>
              </w:rPr>
              <w:t>通过访谈物理安全负责人，检查机房安全管理制度，机房和办公环境等过程，测评是否采取必要的措施对机房的出入控制以及办公环境的人员行为等方面进行安全管理。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2</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资产管理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通过访谈资产管理员，检查资产清单，检查系统、网络设备等过程，测评是否采取必要的措施对系统的资产进行分类标识管理。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3</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介质管理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通过访谈资产管理员，检查介质管理记录和各类介质等过程，测评是否采取必要的措施对介质存放环境、使用、维护和销毁等方面进行管理。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4</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设备管理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通过访谈资产管理员、系统管理员，检查设备使用管理文档和设备操作规程等过程，测评是否采取必要的措施确保设备在使用、维护和销毁等过程安全。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5</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监控管理和安全管理中心</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通过访谈系统运维负责人，测评是否采取必要的措施对重要主机的运行和访问权限进行监控管理。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6</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网络安全管理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通过访谈安全主管、系统管理员，检查系统安全管理制度、系统审计日志和系统漏洞扫描报告等过程，测评是否采取必要的措施对系统的安全配置、系统账户、漏洞扫描和审计日志等方面进行有效的管理。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7</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系统安全管理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安全主管、网络管理员，检查网络安全管理制度、网络审计日志和网络漏洞扫描报告等过程，测评是否采取必要的措施对网络的安全配置、网络用户权限和审计日志等方面进行有效的管理，确保网络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8</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恶意代码防范管理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通过访谈系统运维负责人，检查恶意代码防范管理文档和恶意代码检测记录等过程，测评是否采取必要的措施对恶意代码进行有效管理，确保系统具有恶意代码防范能力。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9</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密码管理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通过访谈安全员，测评是否能够确保信息系统中密码算法和密钥的使用符合国家密码管理规定。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10</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变更管理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通过访谈系统运维负责人，检查变更方案和变更管理制度等过程，测评是否采取必要的措施对系统发生的变更进行有效管理。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11</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备份与恢复管理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通过访谈系统管理员、网络管理员，检查系统备份管理文档和记录等过程，测评是否采取必要的措施对重要业务信息，系统数据和系统软件进行备份，并确保必要时能够对这些数据有效地恢复。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12</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安全事件处置</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通过访谈系统运维负责人，检查安全事件记录分析文档、安全事件报告和处置管理制度等过程，测评是否采取必要的措施对安全事件进行等级划分和对安全事件的报告、处理过程进行有效的管理。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c>
          <w:tcPr>
            <w:tcW w:w="6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13</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应急预案管理</w:t>
            </w:r>
          </w:p>
        </w:tc>
        <w:tc>
          <w:tcPr>
            <w:tcW w:w="61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ascii="仿宋" w:hAnsi="仿宋" w:eastAsia="仿宋"/>
                <w:sz w:val="24"/>
              </w:rPr>
              <w:t>通过访谈系统运维负责人，检查应急响应预案文档等过程，测评是否针对不同安全事件制定相应的应急预案，是否对应急预案展开培训、演练和审查等。</w:t>
            </w:r>
          </w:p>
        </w:tc>
      </w:tr>
    </w:tbl>
    <w:p>
      <w:pPr>
        <w:spacing w:line="480" w:lineRule="exact"/>
        <w:rPr>
          <w:rFonts w:ascii="仿宋" w:hAnsi="仿宋" w:eastAsia="仿宋"/>
          <w:sz w:val="24"/>
        </w:rPr>
      </w:pPr>
      <w:r>
        <w:rPr>
          <w:rFonts w:hint="eastAsia" w:ascii="仿宋" w:hAnsi="仿宋" w:eastAsia="仿宋"/>
          <w:sz w:val="24"/>
        </w:rPr>
        <w:t>工具测试</w:t>
      </w:r>
    </w:p>
    <w:p>
      <w:pPr>
        <w:spacing w:line="480" w:lineRule="exact"/>
        <w:rPr>
          <w:rFonts w:ascii="仿宋" w:hAnsi="仿宋" w:eastAsia="仿宋"/>
          <w:sz w:val="24"/>
        </w:rPr>
      </w:pPr>
      <w:r>
        <w:rPr>
          <w:rFonts w:hint="eastAsia" w:ascii="仿宋" w:hAnsi="仿宋" w:eastAsia="仿宋"/>
          <w:sz w:val="24"/>
        </w:rPr>
        <w:t xml:space="preserve">     根据工具测试过程管理表单，使用漏洞扫描工具对信息系统的设备进行扫描，扫描结束后，</w:t>
      </w:r>
      <w:r>
        <w:rPr>
          <w:rFonts w:ascii="仿宋" w:hAnsi="仿宋" w:eastAsia="仿宋"/>
          <w:sz w:val="24"/>
        </w:rPr>
        <w:t>根据目标</w:t>
      </w:r>
      <w:r>
        <w:rPr>
          <w:rFonts w:hint="eastAsia" w:ascii="仿宋" w:hAnsi="仿宋" w:eastAsia="仿宋"/>
          <w:sz w:val="24"/>
        </w:rPr>
        <w:t>设备</w:t>
      </w:r>
      <w:r>
        <w:rPr>
          <w:rFonts w:ascii="仿宋" w:hAnsi="仿宋" w:eastAsia="仿宋"/>
          <w:sz w:val="24"/>
        </w:rPr>
        <w:t>的具体情况，判断漏洞验证的风险程度。</w:t>
      </w:r>
    </w:p>
    <w:p>
      <w:pPr>
        <w:spacing w:line="480" w:lineRule="exact"/>
        <w:rPr>
          <w:rFonts w:ascii="仿宋" w:hAnsi="仿宋" w:eastAsia="仿宋"/>
          <w:sz w:val="24"/>
        </w:rPr>
      </w:pPr>
      <w:r>
        <w:rPr>
          <w:rFonts w:hint="eastAsia" w:ascii="仿宋" w:hAnsi="仿宋" w:eastAsia="仿宋"/>
          <w:sz w:val="24"/>
        </w:rPr>
        <w:t>c</w:t>
      </w:r>
      <w:r>
        <w:rPr>
          <w:rFonts w:ascii="仿宋" w:hAnsi="仿宋" w:eastAsia="仿宋"/>
          <w:sz w:val="24"/>
        </w:rPr>
        <w:t>)</w:t>
      </w:r>
      <w:r>
        <w:rPr>
          <w:rFonts w:hint="eastAsia" w:ascii="仿宋" w:hAnsi="仿宋" w:eastAsia="仿宋"/>
          <w:sz w:val="24"/>
        </w:rPr>
        <w:t xml:space="preserve"> 实施流程</w:t>
      </w:r>
      <w:bookmarkStart w:id="51" w:name="_Toc236536821"/>
      <w:bookmarkStart w:id="52" w:name="_Toc275270328"/>
      <w:bookmarkStart w:id="53" w:name="_Toc236979477"/>
    </w:p>
    <w:p>
      <w:pPr>
        <w:spacing w:line="480" w:lineRule="exact"/>
        <w:rPr>
          <w:rFonts w:ascii="仿宋" w:hAnsi="仿宋" w:eastAsia="仿宋"/>
          <w:sz w:val="24"/>
        </w:rPr>
      </w:pPr>
      <w:r>
        <w:rPr>
          <w:rFonts w:hint="eastAsia" w:ascii="仿宋" w:hAnsi="仿宋" w:eastAsia="仿宋"/>
          <w:sz w:val="24"/>
        </w:rPr>
        <w:t>1.</w:t>
      </w:r>
      <w:r>
        <w:rPr>
          <w:rFonts w:ascii="仿宋" w:hAnsi="仿宋" w:eastAsia="仿宋"/>
          <w:sz w:val="24"/>
        </w:rPr>
        <w:t>测评准备活动</w:t>
      </w:r>
      <w:bookmarkEnd w:id="51"/>
      <w:bookmarkEnd w:id="52"/>
      <w:bookmarkEnd w:id="53"/>
      <w:r>
        <w:rPr>
          <w:rFonts w:hint="eastAsia" w:ascii="仿宋" w:hAnsi="仿宋" w:eastAsia="仿宋"/>
          <w:sz w:val="24"/>
        </w:rPr>
        <w:t>：</w:t>
      </w:r>
      <w:r>
        <w:rPr>
          <w:rFonts w:ascii="仿宋" w:hAnsi="仿宋" w:eastAsia="仿宋"/>
          <w:sz w:val="24"/>
        </w:rPr>
        <w:t>测评准备活动中，评估中心主要完成启动测评项目，组建测评项目组；通过收集和分析被测系统的相关资料信息，掌握被测系统的大体情况；并准备测评工具和表单等测评所需的相关资料</w:t>
      </w:r>
      <w:r>
        <w:rPr>
          <w:rFonts w:hint="eastAsia" w:ascii="仿宋" w:hAnsi="仿宋" w:eastAsia="仿宋"/>
          <w:sz w:val="24"/>
        </w:rPr>
        <w:t>。</w:t>
      </w:r>
    </w:p>
    <w:p>
      <w:pPr>
        <w:spacing w:line="480" w:lineRule="exact"/>
        <w:rPr>
          <w:rFonts w:ascii="仿宋" w:hAnsi="仿宋" w:eastAsia="仿宋"/>
          <w:sz w:val="24"/>
        </w:rPr>
      </w:pPr>
      <w:r>
        <w:rPr>
          <w:rFonts w:hint="eastAsia" w:ascii="仿宋" w:hAnsi="仿宋" w:eastAsia="仿宋"/>
          <w:sz w:val="24"/>
        </w:rPr>
        <w:t>2.方案编制活动：</w:t>
      </w:r>
      <w:r>
        <w:rPr>
          <w:rFonts w:ascii="仿宋" w:hAnsi="仿宋" w:eastAsia="仿宋"/>
          <w:sz w:val="24"/>
        </w:rPr>
        <w:t>方案编制活动中，评估中心主要完成确定测评对象和测评指标，选择测试工具接入点，从而进一步确定测评实施内容，并从已有的测评指导书中选择本次需要用到的测评指导书，最后根据上述情况编制测评方案。</w:t>
      </w:r>
    </w:p>
    <w:p>
      <w:pPr>
        <w:spacing w:line="480" w:lineRule="exact"/>
        <w:rPr>
          <w:rFonts w:ascii="仿宋" w:hAnsi="仿宋" w:eastAsia="仿宋"/>
          <w:sz w:val="24"/>
        </w:rPr>
      </w:pPr>
      <w:r>
        <w:rPr>
          <w:rFonts w:hint="eastAsia" w:ascii="仿宋" w:hAnsi="仿宋" w:eastAsia="仿宋"/>
          <w:sz w:val="24"/>
        </w:rPr>
        <w:t>3.现场测评活动：</w:t>
      </w:r>
      <w:r>
        <w:rPr>
          <w:rFonts w:ascii="仿宋" w:hAnsi="仿宋" w:eastAsia="仿宋"/>
          <w:sz w:val="24"/>
        </w:rPr>
        <w:t>现场测评活动中，评估中心在与测评委托单位就测评方案达成一致意见，并进一步确定测评配合人员，完成测评指导书各项测评内容，获取足够的测评证据。</w:t>
      </w:r>
    </w:p>
    <w:p>
      <w:pPr>
        <w:spacing w:line="480" w:lineRule="exact"/>
        <w:rPr>
          <w:rFonts w:ascii="仿宋" w:hAnsi="仿宋" w:eastAsia="仿宋"/>
          <w:sz w:val="24"/>
        </w:rPr>
      </w:pPr>
      <w:r>
        <w:rPr>
          <w:rFonts w:hint="eastAsia" w:ascii="仿宋" w:hAnsi="仿宋" w:eastAsia="仿宋"/>
          <w:sz w:val="24"/>
        </w:rPr>
        <w:t>4.分析与报告编制活动：</w:t>
      </w:r>
      <w:r>
        <w:rPr>
          <w:rFonts w:ascii="仿宋" w:hAnsi="仿宋" w:eastAsia="仿宋"/>
          <w:sz w:val="24"/>
        </w:rPr>
        <w:t>分析与报告编制活动中，测评人员通过分析现场测评获得的测评证据和资料，判定单项测评结果及单元测评结果，进行整体测评和风险分析，形成等级测评结论，并编制测评报告。</w:t>
      </w:r>
    </w:p>
    <w:p>
      <w:pPr>
        <w:rPr>
          <w:rFonts w:ascii="仿宋" w:hAnsi="仿宋" w:eastAsia="仿宋"/>
          <w:sz w:val="24"/>
        </w:rPr>
      </w:pPr>
      <w:r>
        <w:rPr>
          <w:rFonts w:ascii="仿宋" w:hAnsi="仿宋" w:eastAsia="仿宋"/>
          <w:sz w:val="24"/>
        </w:rPr>
        <w:drawing>
          <wp:inline distT="0" distB="0" distL="114300" distR="114300">
            <wp:extent cx="5606415" cy="5895975"/>
            <wp:effectExtent l="0" t="0" r="133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06415" cy="5895975"/>
                    </a:xfrm>
                    <a:prstGeom prst="rect">
                      <a:avLst/>
                    </a:prstGeom>
                    <a:noFill/>
                    <a:ln w="9525">
                      <a:noFill/>
                    </a:ln>
                  </pic:spPr>
                </pic:pic>
              </a:graphicData>
            </a:graphic>
          </wp:inline>
        </w:drawing>
      </w:r>
    </w:p>
    <w:p>
      <w:pPr>
        <w:spacing w:line="480" w:lineRule="exact"/>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技术服务要求</w:t>
      </w:r>
    </w:p>
    <w:p>
      <w:pPr>
        <w:spacing w:line="480" w:lineRule="exact"/>
        <w:rPr>
          <w:rFonts w:ascii="仿宋" w:hAnsi="仿宋" w:eastAsia="仿宋"/>
          <w:sz w:val="24"/>
        </w:rPr>
      </w:pPr>
      <w:r>
        <w:rPr>
          <w:rFonts w:hint="eastAsia" w:ascii="仿宋" w:hAnsi="仿宋" w:eastAsia="仿宋"/>
          <w:sz w:val="24"/>
        </w:rPr>
        <w:t>6</w:t>
      </w:r>
      <w:r>
        <w:rPr>
          <w:rFonts w:ascii="仿宋" w:hAnsi="仿宋" w:eastAsia="仿宋"/>
          <w:sz w:val="24"/>
        </w:rPr>
        <w:t>.1</w:t>
      </w:r>
      <w:r>
        <w:rPr>
          <w:rFonts w:hint="eastAsia" w:ascii="仿宋" w:hAnsi="仿宋" w:eastAsia="仿宋"/>
          <w:sz w:val="24"/>
        </w:rPr>
        <w:t>本次等级测评应满足的原则</w:t>
      </w:r>
    </w:p>
    <w:p>
      <w:pPr>
        <w:spacing w:line="480" w:lineRule="exact"/>
        <w:rPr>
          <w:rFonts w:ascii="仿宋" w:hAnsi="仿宋" w:eastAsia="仿宋"/>
          <w:sz w:val="24"/>
        </w:rPr>
      </w:pPr>
      <w:r>
        <w:rPr>
          <w:rFonts w:hint="eastAsia" w:ascii="仿宋" w:hAnsi="仿宋" w:eastAsia="仿宋"/>
          <w:sz w:val="24"/>
        </w:rPr>
        <w:t>（1）  保密原则：对测评的过程数据和结果数据严格保密，未经授权不得泄露给任何单位和个人，不得利用此数据进行任何侵害招标人的行为，否则招标人有权追究投标人的责任。</w:t>
      </w:r>
    </w:p>
    <w:p>
      <w:pPr>
        <w:spacing w:line="480" w:lineRule="exact"/>
        <w:rPr>
          <w:rFonts w:ascii="仿宋" w:hAnsi="仿宋" w:eastAsia="仿宋"/>
          <w:sz w:val="24"/>
        </w:rPr>
      </w:pPr>
      <w:r>
        <w:rPr>
          <w:rFonts w:hint="eastAsia" w:ascii="仿宋" w:hAnsi="仿宋" w:eastAsia="仿宋"/>
          <w:sz w:val="24"/>
        </w:rPr>
        <w:t>（2）  标准性原则：测评方案的设计与实施应依据国家等级保护的相关标准进行。</w:t>
      </w:r>
    </w:p>
    <w:p>
      <w:pPr>
        <w:spacing w:line="480" w:lineRule="exact"/>
        <w:rPr>
          <w:rFonts w:ascii="仿宋" w:hAnsi="仿宋" w:eastAsia="仿宋"/>
          <w:sz w:val="24"/>
        </w:rPr>
      </w:pPr>
      <w:r>
        <w:rPr>
          <w:rFonts w:hint="eastAsia" w:ascii="仿宋" w:hAnsi="仿宋" w:eastAsia="仿宋"/>
          <w:sz w:val="24"/>
        </w:rPr>
        <w:t>（3） 规范性原则：投标人的工作中的过程和文档，具有很好的规范性，可以便于项目的跟踪和控制。</w:t>
      </w:r>
    </w:p>
    <w:p>
      <w:pPr>
        <w:spacing w:line="480" w:lineRule="exact"/>
        <w:rPr>
          <w:rFonts w:ascii="仿宋" w:hAnsi="仿宋" w:eastAsia="仿宋"/>
          <w:sz w:val="24"/>
        </w:rPr>
      </w:pPr>
      <w:r>
        <w:rPr>
          <w:rFonts w:hint="eastAsia" w:ascii="仿宋" w:hAnsi="仿宋" w:eastAsia="仿宋"/>
          <w:sz w:val="24"/>
        </w:rPr>
        <w:t>（4）  可控性原则：测评服务的进度要跟上进度表的安排，保证招标人对于测评工作的可控性。</w:t>
      </w:r>
    </w:p>
    <w:p>
      <w:pPr>
        <w:spacing w:line="480" w:lineRule="exact"/>
        <w:rPr>
          <w:rFonts w:ascii="仿宋" w:hAnsi="仿宋" w:eastAsia="仿宋"/>
          <w:sz w:val="24"/>
        </w:rPr>
      </w:pPr>
      <w:r>
        <w:rPr>
          <w:rFonts w:hint="eastAsia" w:ascii="仿宋" w:hAnsi="仿宋" w:eastAsia="仿宋"/>
          <w:sz w:val="24"/>
        </w:rPr>
        <w:t>（5）  整体性原则：测评的范围和内容应当整体全面，包括国家等级保护相关要求涉及的各个层面。</w:t>
      </w:r>
    </w:p>
    <w:p>
      <w:pPr>
        <w:spacing w:line="480" w:lineRule="exact"/>
        <w:rPr>
          <w:rFonts w:ascii="仿宋" w:hAnsi="仿宋" w:eastAsia="仿宋"/>
          <w:sz w:val="24"/>
        </w:rPr>
      </w:pPr>
      <w:r>
        <w:rPr>
          <w:rFonts w:hint="eastAsia" w:ascii="仿宋" w:hAnsi="仿宋" w:eastAsia="仿宋"/>
          <w:sz w:val="24"/>
        </w:rPr>
        <w:t>（6）  最小影响原则：测评工作应尽可能小的影响系统和网络，并在可控范围内；测评工作不能对现有信息系统的的正常运行、业务的正常开展产生任何影响。</w:t>
      </w:r>
    </w:p>
    <w:p>
      <w:pPr>
        <w:spacing w:line="480" w:lineRule="exact"/>
        <w:rPr>
          <w:rFonts w:ascii="仿宋" w:hAnsi="仿宋" w:eastAsia="仿宋"/>
          <w:sz w:val="24"/>
        </w:rPr>
      </w:pPr>
      <w:r>
        <w:rPr>
          <w:rFonts w:hint="eastAsia" w:ascii="仿宋" w:hAnsi="仿宋" w:eastAsia="仿宋"/>
          <w:sz w:val="24"/>
        </w:rPr>
        <w:t>投标人应严格依照上述原则和国家等级保护相关标准开展项目实施工作。</w:t>
      </w:r>
    </w:p>
    <w:p>
      <w:pPr>
        <w:spacing w:line="480" w:lineRule="exact"/>
        <w:rPr>
          <w:rFonts w:ascii="仿宋" w:hAnsi="仿宋" w:eastAsia="仿宋"/>
          <w:sz w:val="24"/>
        </w:rPr>
      </w:pPr>
      <w:r>
        <w:rPr>
          <w:rFonts w:hint="eastAsia" w:ascii="仿宋" w:hAnsi="仿宋" w:eastAsia="仿宋"/>
          <w:sz w:val="24"/>
        </w:rPr>
        <w:t>6</w:t>
      </w:r>
      <w:r>
        <w:rPr>
          <w:rFonts w:ascii="仿宋" w:hAnsi="仿宋" w:eastAsia="仿宋"/>
          <w:sz w:val="24"/>
        </w:rPr>
        <w:t>.2</w:t>
      </w:r>
      <w:r>
        <w:rPr>
          <w:rFonts w:hint="eastAsia" w:ascii="仿宋" w:hAnsi="仿宋" w:eastAsia="仿宋"/>
          <w:sz w:val="24"/>
        </w:rPr>
        <w:t>本次等级测评的整体要求</w:t>
      </w:r>
    </w:p>
    <w:p>
      <w:pPr>
        <w:spacing w:line="480" w:lineRule="exact"/>
        <w:rPr>
          <w:rFonts w:ascii="仿宋" w:hAnsi="仿宋" w:eastAsia="仿宋"/>
          <w:sz w:val="24"/>
        </w:rPr>
      </w:pPr>
      <w:r>
        <w:rPr>
          <w:rFonts w:hint="eastAsia" w:ascii="仿宋" w:hAnsi="仿宋" w:eastAsia="仿宋"/>
          <w:sz w:val="24"/>
        </w:rPr>
        <w:t>（1）  投标人应详细描述本次信息系统安全等级保护测评的整体实施方案，包括项目概述、等级保护测评方案、测试过程中需使用测试设备清单、时间安排、阶段性文档提交等。</w:t>
      </w:r>
    </w:p>
    <w:p>
      <w:pPr>
        <w:spacing w:line="480" w:lineRule="exact"/>
        <w:rPr>
          <w:rFonts w:ascii="仿宋" w:hAnsi="仿宋" w:eastAsia="仿宋"/>
          <w:sz w:val="24"/>
        </w:rPr>
      </w:pPr>
      <w:r>
        <w:rPr>
          <w:rFonts w:hint="eastAsia" w:ascii="仿宋" w:hAnsi="仿宋" w:eastAsia="仿宋"/>
          <w:sz w:val="24"/>
        </w:rPr>
        <w:t>（2）  投标人应详细描述测评人员的组成、资质及各自职责的划分。投标人应配置有测评资质的专业人员进行本次信息安全等级保护测评工作。</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（3）  本次信息系统安全等级保护测评实施过程中所使用到的各种工具软件由投标人推荐，经招标人确认后由投标人提供并在信息系统等级保护测评中使用。</w:t>
      </w:r>
    </w:p>
    <w:p>
      <w:pPr>
        <w:spacing w:line="480" w:lineRule="exact"/>
        <w:rPr>
          <w:rFonts w:ascii="仿宋" w:hAnsi="仿宋" w:eastAsia="仿宋"/>
          <w:sz w:val="24"/>
        </w:rPr>
      </w:pPr>
      <w:r>
        <w:rPr>
          <w:rFonts w:hint="eastAsia" w:ascii="仿宋" w:hAnsi="仿宋" w:eastAsia="仿宋"/>
          <w:sz w:val="24"/>
        </w:rPr>
        <w:t>（4）  信息系统安全等级保护测评需要的运行环境（如场地、网络环境等）由招标人提供，投标人应详细描述需要的运行环境的具体要求。</w:t>
      </w:r>
    </w:p>
    <w:p>
      <w:pPr>
        <w:pStyle w:val="4"/>
      </w:pPr>
      <w:r>
        <w:rPr>
          <w:rFonts w:hint="eastAsia"/>
        </w:rPr>
        <w:t>5.2安全培训</w:t>
      </w:r>
    </w:p>
    <w:p>
      <w:pPr>
        <w:spacing w:line="360" w:lineRule="auto"/>
        <w:ind w:firstLine="480" w:firstLineChars="200"/>
        <w:rPr>
          <w:rFonts w:ascii="仿宋" w:hAnsi="仿宋" w:eastAsia="仿宋"/>
          <w:sz w:val="24"/>
        </w:rPr>
      </w:pPr>
      <w:r>
        <w:rPr>
          <w:rFonts w:ascii="仿宋" w:hAnsi="仿宋" w:eastAsia="仿宋"/>
          <w:sz w:val="24"/>
        </w:rPr>
        <w:t>针对</w:t>
      </w:r>
      <w:r>
        <w:rPr>
          <w:rFonts w:hint="eastAsia" w:ascii="仿宋" w:hAnsi="仿宋" w:eastAsia="仿宋"/>
          <w:sz w:val="24"/>
        </w:rPr>
        <w:t>终端用户、</w:t>
      </w:r>
      <w:r>
        <w:rPr>
          <w:rFonts w:ascii="仿宋" w:hAnsi="仿宋" w:eastAsia="仿宋"/>
          <w:sz w:val="24"/>
        </w:rPr>
        <w:t>技术人员、安全</w:t>
      </w:r>
      <w:r>
        <w:rPr>
          <w:rFonts w:hint="eastAsia" w:ascii="仿宋" w:hAnsi="仿宋" w:eastAsia="仿宋"/>
          <w:sz w:val="24"/>
        </w:rPr>
        <w:t>管理人员</w:t>
      </w:r>
      <w:r>
        <w:rPr>
          <w:rFonts w:ascii="仿宋" w:hAnsi="仿宋" w:eastAsia="仿宋"/>
          <w:sz w:val="24"/>
        </w:rPr>
        <w:t>提供信息安全意识、</w:t>
      </w:r>
      <w:r>
        <w:rPr>
          <w:rFonts w:hint="eastAsia" w:ascii="仿宋" w:hAnsi="仿宋" w:eastAsia="仿宋"/>
          <w:sz w:val="24"/>
        </w:rPr>
        <w:t>安全技术、黑客攻击手段与防御、安全运维培训</w:t>
      </w:r>
      <w:r>
        <w:rPr>
          <w:rFonts w:ascii="仿宋" w:hAnsi="仿宋" w:eastAsia="仿宋"/>
          <w:sz w:val="24"/>
        </w:rPr>
        <w:t>及定制培训服务。</w:t>
      </w:r>
      <w:r>
        <w:rPr>
          <w:rFonts w:hint="eastAsia" w:ascii="仿宋" w:hAnsi="仿宋" w:eastAsia="仿宋"/>
          <w:sz w:val="24"/>
        </w:rPr>
        <w:t>提高用户的信息安全意识，提高安全技术人员的安全运维技能和安全管理水平。</w:t>
      </w:r>
    </w:p>
    <w:p>
      <w:pPr>
        <w:spacing w:line="360" w:lineRule="auto"/>
        <w:ind w:firstLine="480" w:firstLineChars="200"/>
        <w:rPr>
          <w:rFonts w:ascii="仿宋" w:hAnsi="仿宋" w:eastAsia="仿宋"/>
          <w:bCs/>
          <w:kern w:val="44"/>
          <w:sz w:val="24"/>
        </w:rPr>
      </w:pPr>
      <w:r>
        <w:rPr>
          <w:rFonts w:hint="eastAsia" w:ascii="仿宋" w:hAnsi="仿宋" w:eastAsia="仿宋"/>
          <w:sz w:val="24"/>
        </w:rPr>
        <w:t>通过这一整套体系的服务，不但能解决我院当前的问题，也能在未来信息安全建设、维护工作中大大降低信息安全事件发生概率，并且在不可抗事件发生后能及时做出应对，避免事态升级，影响扩大。</w:t>
      </w:r>
    </w:p>
    <w:p>
      <w:r>
        <w:br w:type="page"/>
      </w:r>
    </w:p>
    <w:p>
      <w:pPr>
        <w:pStyle w:val="3"/>
        <w:numPr>
          <w:ilvl w:val="0"/>
          <w:numId w:val="1"/>
        </w:numPr>
      </w:pPr>
      <w:bookmarkStart w:id="54" w:name="_Toc485233652"/>
      <w:bookmarkStart w:id="55" w:name="_Toc527815884"/>
      <w:bookmarkStart w:id="56" w:name="_Toc399189065"/>
      <w:r>
        <w:t>服务交付物</w:t>
      </w:r>
      <w:bookmarkEnd w:id="54"/>
      <w:bookmarkEnd w:id="55"/>
      <w:bookmarkEnd w:id="56"/>
    </w:p>
    <w:p>
      <w:pPr>
        <w:pStyle w:val="14"/>
      </w:pPr>
      <w:r>
        <w:rPr>
          <w:rFonts w:hint="eastAsia"/>
        </w:rPr>
        <w:t>表</w:t>
      </w:r>
      <w:r>
        <w:t xml:space="preserve">. </w:t>
      </w:r>
      <w:r>
        <w:rPr>
          <w:rFonts w:hint="eastAsia"/>
        </w:rPr>
        <w:t>项目交付物</w:t>
      </w:r>
    </w:p>
    <w:tbl>
      <w:tblPr>
        <w:tblStyle w:val="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60" w:type="dxa"/>
            <w:shd w:val="clear" w:color="auto" w:fill="D9D9D9"/>
            <w:vAlign w:val="center"/>
          </w:tcPr>
          <w:p>
            <w:pPr>
              <w:widowControl/>
              <w:spacing w:line="360" w:lineRule="auto"/>
              <w:jc w:val="center"/>
              <w:rPr>
                <w:b/>
                <w:bCs/>
                <w:kern w:val="0"/>
                <w:szCs w:val="21"/>
              </w:rPr>
            </w:pPr>
            <w:r>
              <w:rPr>
                <w:b/>
                <w:bCs/>
                <w:kern w:val="0"/>
                <w:szCs w:val="21"/>
              </w:rPr>
              <w:t>服务</w:t>
            </w:r>
          </w:p>
        </w:tc>
        <w:tc>
          <w:tcPr>
            <w:tcW w:w="6627" w:type="dxa"/>
            <w:shd w:val="clear" w:color="auto" w:fill="D9D9D9"/>
            <w:vAlign w:val="center"/>
          </w:tcPr>
          <w:p>
            <w:pPr>
              <w:widowControl/>
              <w:spacing w:line="360" w:lineRule="auto"/>
              <w:jc w:val="center"/>
              <w:rPr>
                <w:b/>
                <w:bCs/>
                <w:kern w:val="0"/>
                <w:szCs w:val="21"/>
              </w:rPr>
            </w:pPr>
            <w:r>
              <w:rPr>
                <w:b/>
                <w:bCs/>
                <w:kern w:val="0"/>
                <w:szCs w:val="21"/>
              </w:rPr>
              <w:t>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60" w:type="dxa"/>
            <w:vAlign w:val="center"/>
          </w:tcPr>
          <w:p>
            <w:pPr>
              <w:widowControl/>
              <w:spacing w:line="360" w:lineRule="auto"/>
              <w:jc w:val="center"/>
              <w:rPr>
                <w:kern w:val="0"/>
                <w:szCs w:val="21"/>
              </w:rPr>
            </w:pPr>
            <w:r>
              <w:rPr>
                <w:rFonts w:hint="eastAsia"/>
                <w:kern w:val="0"/>
                <w:szCs w:val="21"/>
              </w:rPr>
              <w:t>信息系统等级保护测评服务</w:t>
            </w:r>
          </w:p>
        </w:tc>
        <w:tc>
          <w:tcPr>
            <w:tcW w:w="6627" w:type="dxa"/>
            <w:vAlign w:val="center"/>
          </w:tcPr>
          <w:p>
            <w:pPr>
              <w:spacing w:line="360" w:lineRule="auto"/>
              <w:rPr>
                <w:szCs w:val="21"/>
              </w:rPr>
            </w:pPr>
            <w:r>
              <w:rPr>
                <w:szCs w:val="21"/>
              </w:rPr>
              <w:t>《</w:t>
            </w:r>
            <w:r>
              <w:rPr>
                <w:rFonts w:hint="eastAsia"/>
                <w:szCs w:val="21"/>
              </w:rPr>
              <w:t>常德技师学院差距分析报告</w:t>
            </w:r>
            <w:r>
              <w:rPr>
                <w:szCs w:val="21"/>
              </w:rPr>
              <w:t>》</w:t>
            </w:r>
            <w:r>
              <w:rPr>
                <w:rFonts w:hint="eastAsia"/>
                <w:szCs w:val="21"/>
              </w:rPr>
              <w:t>；</w:t>
            </w:r>
          </w:p>
          <w:p>
            <w:pPr>
              <w:spacing w:line="360" w:lineRule="auto"/>
              <w:rPr>
                <w:szCs w:val="21"/>
              </w:rPr>
            </w:pPr>
            <w:r>
              <w:rPr>
                <w:szCs w:val="21"/>
              </w:rPr>
              <w:t>《</w:t>
            </w:r>
            <w:r>
              <w:rPr>
                <w:rFonts w:hint="eastAsia"/>
                <w:szCs w:val="21"/>
              </w:rPr>
              <w:t>常德技师学院教务</w:t>
            </w:r>
            <w:r>
              <w:rPr>
                <w:szCs w:val="21"/>
              </w:rPr>
              <w:t>系统</w:t>
            </w:r>
            <w:r>
              <w:rPr>
                <w:rFonts w:hint="eastAsia"/>
                <w:szCs w:val="21"/>
              </w:rPr>
              <w:t>等级测评</w:t>
            </w:r>
            <w:r>
              <w:rPr>
                <w:szCs w:val="21"/>
              </w:rPr>
              <w:t>报告》</w:t>
            </w:r>
            <w:r>
              <w:rPr>
                <w:rFonts w:hint="eastAsia"/>
                <w:szCs w:val="21"/>
              </w:rPr>
              <w:t>；</w:t>
            </w:r>
          </w:p>
          <w:p>
            <w:pPr>
              <w:spacing w:line="360" w:lineRule="auto"/>
              <w:rPr>
                <w:szCs w:val="21"/>
              </w:rPr>
            </w:pPr>
            <w:r>
              <w:rPr>
                <w:szCs w:val="21"/>
              </w:rPr>
              <w:t>《</w:t>
            </w:r>
            <w:r>
              <w:rPr>
                <w:rFonts w:hint="eastAsia"/>
                <w:szCs w:val="21"/>
              </w:rPr>
              <w:t>常德技师学院一卡通</w:t>
            </w:r>
            <w:r>
              <w:rPr>
                <w:szCs w:val="21"/>
              </w:rPr>
              <w:t>系统</w:t>
            </w:r>
            <w:r>
              <w:rPr>
                <w:rFonts w:hint="eastAsia"/>
                <w:szCs w:val="21"/>
              </w:rPr>
              <w:t>等级测评</w:t>
            </w:r>
            <w:r>
              <w:rPr>
                <w:szCs w:val="21"/>
              </w:rPr>
              <w:t>报告》</w:t>
            </w:r>
            <w:r>
              <w:rPr>
                <w:rFonts w:hint="eastAsia"/>
                <w:szCs w:val="21"/>
              </w:rPr>
              <w:t>；</w:t>
            </w:r>
          </w:p>
          <w:p>
            <w:pPr>
              <w:spacing w:line="360" w:lineRule="auto"/>
              <w:rPr>
                <w:szCs w:val="21"/>
              </w:rPr>
            </w:pPr>
            <w:r>
              <w:rPr>
                <w:szCs w:val="21"/>
              </w:rPr>
              <w:t>《</w:t>
            </w:r>
            <w:r>
              <w:rPr>
                <w:rFonts w:hint="eastAsia"/>
                <w:szCs w:val="21"/>
              </w:rPr>
              <w:t>常德技师学院官网</w:t>
            </w:r>
            <w:r>
              <w:rPr>
                <w:szCs w:val="21"/>
              </w:rPr>
              <w:t>系统</w:t>
            </w:r>
            <w:r>
              <w:rPr>
                <w:rFonts w:hint="eastAsia"/>
                <w:szCs w:val="21"/>
              </w:rPr>
              <w:t>等级测评</w:t>
            </w:r>
            <w:r>
              <w:rPr>
                <w:szCs w:val="21"/>
              </w:rPr>
              <w:t>报告》</w:t>
            </w:r>
            <w:r>
              <w:rPr>
                <w:rFonts w:hint="eastAsia"/>
                <w:szCs w:val="21"/>
              </w:rPr>
              <w:t>；</w:t>
            </w:r>
          </w:p>
          <w:p>
            <w:pPr>
              <w:spacing w:line="360" w:lineRule="auto"/>
              <w:rPr>
                <w:rFonts w:hint="eastAsia"/>
                <w:szCs w:val="21"/>
              </w:rPr>
            </w:pPr>
            <w:r>
              <w:rPr>
                <w:rFonts w:hint="eastAsia"/>
              </w:rPr>
              <w:t>系统通过本次测评后</w:t>
            </w:r>
            <w:r>
              <w:rPr>
                <w:rFonts w:hint="eastAsia"/>
                <w:szCs w:val="21"/>
              </w:rPr>
              <w:t>协助我院填写《定级报告》和《备案表》，并</w:t>
            </w:r>
            <w:r>
              <w:t>协助</w:t>
            </w:r>
            <w:r>
              <w:rPr>
                <w:rFonts w:hint="eastAsia"/>
              </w:rPr>
              <w:t>我院获取备案证明。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60" w:type="dxa"/>
            <w:vAlign w:val="center"/>
          </w:tcPr>
          <w:p>
            <w:pPr>
              <w:widowControl/>
              <w:spacing w:line="360" w:lineRule="auto"/>
              <w:jc w:val="center"/>
              <w:rPr>
                <w:kern w:val="0"/>
                <w:szCs w:val="21"/>
              </w:rPr>
            </w:pPr>
            <w:r>
              <w:rPr>
                <w:kern w:val="0"/>
                <w:szCs w:val="21"/>
              </w:rPr>
              <w:t>信息安全培训服务</w:t>
            </w:r>
          </w:p>
        </w:tc>
        <w:tc>
          <w:tcPr>
            <w:tcW w:w="6627" w:type="dxa"/>
            <w:vAlign w:val="center"/>
          </w:tcPr>
          <w:p>
            <w:pPr>
              <w:widowControl/>
              <w:spacing w:line="360" w:lineRule="auto"/>
              <w:rPr>
                <w:kern w:val="0"/>
                <w:szCs w:val="21"/>
              </w:rPr>
            </w:pPr>
            <w:r>
              <w:rPr>
                <w:kern w:val="0"/>
                <w:szCs w:val="21"/>
              </w:rPr>
              <w:t>《</w:t>
            </w:r>
            <w:r>
              <w:rPr>
                <w:rFonts w:hint="eastAsia"/>
                <w:kern w:val="0"/>
                <w:szCs w:val="21"/>
              </w:rPr>
              <w:t>常德技师学院</w:t>
            </w:r>
            <w:r>
              <w:rPr>
                <w:kern w:val="0"/>
                <w:szCs w:val="21"/>
              </w:rPr>
              <w:t>培训方案》《培训课件》</w:t>
            </w:r>
          </w:p>
        </w:tc>
      </w:tr>
    </w:tbl>
    <w:p/>
    <w:p>
      <w:pPr>
        <w:jc w:val="left"/>
        <w:rPr>
          <w:rFonts w:ascii="仿宋" w:hAnsi="仿宋" w:eastAsia="仿宋"/>
          <w:sz w:val="32"/>
          <w:szCs w:val="32"/>
        </w:rPr>
      </w:pPr>
    </w:p>
    <w:p>
      <w:pPr>
        <w:jc w:val="left"/>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58F7D"/>
    <w:multiLevelType w:val="singleLevel"/>
    <w:tmpl w:val="8AE58F7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EB"/>
    <w:rsid w:val="00033FE3"/>
    <w:rsid w:val="00120012"/>
    <w:rsid w:val="00125886"/>
    <w:rsid w:val="00145BF8"/>
    <w:rsid w:val="00167142"/>
    <w:rsid w:val="001E0A8C"/>
    <w:rsid w:val="003207EC"/>
    <w:rsid w:val="00357A2D"/>
    <w:rsid w:val="00392D15"/>
    <w:rsid w:val="004731D5"/>
    <w:rsid w:val="006A6FE5"/>
    <w:rsid w:val="006C319A"/>
    <w:rsid w:val="00707F99"/>
    <w:rsid w:val="00713216"/>
    <w:rsid w:val="007222AC"/>
    <w:rsid w:val="00813B6E"/>
    <w:rsid w:val="008206E5"/>
    <w:rsid w:val="00861492"/>
    <w:rsid w:val="008D5330"/>
    <w:rsid w:val="008D6955"/>
    <w:rsid w:val="009A1A12"/>
    <w:rsid w:val="00A36699"/>
    <w:rsid w:val="00A4598F"/>
    <w:rsid w:val="00B81D86"/>
    <w:rsid w:val="00BB3388"/>
    <w:rsid w:val="00C14E19"/>
    <w:rsid w:val="00C43E21"/>
    <w:rsid w:val="00C719EB"/>
    <w:rsid w:val="00C913F7"/>
    <w:rsid w:val="00CC26F5"/>
    <w:rsid w:val="00DF7F74"/>
    <w:rsid w:val="00E81854"/>
    <w:rsid w:val="00EA150E"/>
    <w:rsid w:val="00EF2F77"/>
    <w:rsid w:val="00F60B7A"/>
    <w:rsid w:val="19671AE5"/>
    <w:rsid w:val="4A344ABE"/>
    <w:rsid w:val="4AB623C5"/>
    <w:rsid w:val="58F45EE6"/>
    <w:rsid w:val="6BF50997"/>
    <w:rsid w:val="7905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6" w:lineRule="auto"/>
      <w:outlineLvl w:val="0"/>
    </w:pPr>
    <w:rPr>
      <w:rFonts w:ascii="Times New Roman" w:hAnsi="Times New Roman" w:eastAsia="宋体" w:cs="Times New Roman"/>
      <w:b/>
      <w:kern w:val="44"/>
      <w:sz w:val="44"/>
      <w:szCs w:val="24"/>
    </w:rPr>
  </w:style>
  <w:style w:type="paragraph" w:styleId="3">
    <w:name w:val="heading 2"/>
    <w:basedOn w:val="1"/>
    <w:next w:val="1"/>
    <w:link w:val="12"/>
    <w:unhideWhenUsed/>
    <w:qFormat/>
    <w:uiPriority w:val="0"/>
    <w:pPr>
      <w:keepNext/>
      <w:keepLines/>
      <w:spacing w:before="260" w:after="260"/>
      <w:outlineLvl w:val="1"/>
    </w:pPr>
    <w:rPr>
      <w:rFonts w:ascii="Arial" w:hAnsi="Arial" w:eastAsia="黑体" w:cs="Times New Roman"/>
      <w:b/>
      <w:sz w:val="28"/>
      <w:szCs w:val="24"/>
    </w:rPr>
  </w:style>
  <w:style w:type="paragraph" w:styleId="4">
    <w:name w:val="heading 3"/>
    <w:basedOn w:val="1"/>
    <w:next w:val="1"/>
    <w:link w:val="13"/>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Date"/>
    <w:basedOn w:val="1"/>
    <w:next w:val="1"/>
    <w:link w:val="9"/>
    <w:semiHidden/>
    <w:unhideWhenUsed/>
    <w:qFormat/>
    <w:uiPriority w:val="99"/>
    <w:pPr>
      <w:ind w:left="100" w:leftChars="2500"/>
    </w:pPr>
  </w:style>
  <w:style w:type="paragraph" w:styleId="6">
    <w:name w:val="Balloon Text"/>
    <w:basedOn w:val="1"/>
    <w:link w:val="10"/>
    <w:semiHidden/>
    <w:unhideWhenUsed/>
    <w:qFormat/>
    <w:uiPriority w:val="99"/>
    <w:rPr>
      <w:sz w:val="18"/>
      <w:szCs w:val="18"/>
    </w:rPr>
  </w:style>
  <w:style w:type="character" w:customStyle="1" w:styleId="9">
    <w:name w:val="日期 字符"/>
    <w:basedOn w:val="7"/>
    <w:link w:val="5"/>
    <w:semiHidden/>
    <w:qFormat/>
    <w:uiPriority w:val="99"/>
  </w:style>
  <w:style w:type="character" w:customStyle="1" w:styleId="10">
    <w:name w:val="批注框文本 字符"/>
    <w:basedOn w:val="7"/>
    <w:link w:val="6"/>
    <w:semiHidden/>
    <w:qFormat/>
    <w:uiPriority w:val="99"/>
    <w:rPr>
      <w:sz w:val="18"/>
      <w:szCs w:val="18"/>
    </w:rPr>
  </w:style>
  <w:style w:type="character" w:customStyle="1" w:styleId="11">
    <w:name w:val="标题 1 字符"/>
    <w:basedOn w:val="7"/>
    <w:link w:val="2"/>
    <w:qFormat/>
    <w:uiPriority w:val="0"/>
    <w:rPr>
      <w:rFonts w:ascii="Times New Roman" w:hAnsi="Times New Roman" w:eastAsia="宋体" w:cs="Times New Roman"/>
      <w:b/>
      <w:kern w:val="44"/>
      <w:sz w:val="44"/>
      <w:szCs w:val="24"/>
    </w:rPr>
  </w:style>
  <w:style w:type="character" w:customStyle="1" w:styleId="12">
    <w:name w:val="标题 2 字符"/>
    <w:basedOn w:val="7"/>
    <w:link w:val="3"/>
    <w:qFormat/>
    <w:uiPriority w:val="0"/>
    <w:rPr>
      <w:rFonts w:ascii="Arial" w:hAnsi="Arial" w:eastAsia="黑体" w:cs="Times New Roman"/>
      <w:b/>
      <w:sz w:val="28"/>
      <w:szCs w:val="24"/>
    </w:rPr>
  </w:style>
  <w:style w:type="character" w:customStyle="1" w:styleId="13">
    <w:name w:val="标题 3 字符"/>
    <w:basedOn w:val="7"/>
    <w:link w:val="4"/>
    <w:qFormat/>
    <w:uiPriority w:val="0"/>
    <w:rPr>
      <w:rFonts w:ascii="Times New Roman" w:hAnsi="Times New Roman" w:eastAsia="宋体" w:cs="Times New Roman"/>
      <w:b/>
      <w:bCs/>
      <w:sz w:val="32"/>
      <w:szCs w:val="32"/>
    </w:rPr>
  </w:style>
  <w:style w:type="paragraph" w:customStyle="1" w:styleId="14">
    <w:name w:val="表名"/>
    <w:basedOn w:val="1"/>
    <w:qFormat/>
    <w:uiPriority w:val="1"/>
    <w:pPr>
      <w:spacing w:line="360" w:lineRule="auto"/>
      <w:jc w:val="center"/>
    </w:pPr>
    <w:rPr>
      <w:rFonts w:ascii="Times New Roman" w:hAnsi="Times New Roman" w:eastAsia="黑体" w:cs="Times New Roman"/>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4A544-F9D3-43F6-BE43-4252D2FF06F4}">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1741</Words>
  <Characters>9925</Characters>
  <Lines>82</Lines>
  <Paragraphs>23</Paragraphs>
  <TotalTime>14</TotalTime>
  <ScaleCrop>false</ScaleCrop>
  <LinksUpToDate>false</LinksUpToDate>
  <CharactersWithSpaces>11643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2018-12-17T03:14:00Z</dcterms:created>
  <dc:creator>万小平</dc:creator>
  <cp:lastModifiedBy>那只喵喵</cp:lastModifiedBy>
  <cp:lastPrinted>2018-12-17T06:44:00Z</cp:lastPrinted>
  <dcterms:modified xsi:type="dcterms:W3CDTF">2018-12-27T00:56:12Z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